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31C1D" w14:textId="77777777" w:rsidR="00F72C3B" w:rsidRPr="001025FE" w:rsidRDefault="00F72C3B" w:rsidP="001E489E">
      <w:pPr>
        <w:jc w:val="center"/>
        <w:rPr>
          <w:b/>
          <w:sz w:val="32"/>
        </w:rPr>
      </w:pPr>
      <w:bookmarkStart w:id="0" w:name="_GoBack"/>
      <w:bookmarkEnd w:id="0"/>
      <w:r w:rsidRPr="001025FE">
        <w:rPr>
          <w:b/>
          <w:sz w:val="32"/>
        </w:rPr>
        <w:t>UNIVERSITY OF LINCOLN</w:t>
      </w:r>
    </w:p>
    <w:p w14:paraId="0CBA9021" w14:textId="77777777" w:rsidR="00F72C3B" w:rsidRPr="001025FE" w:rsidRDefault="00F72C3B" w:rsidP="00894E4D">
      <w:pPr>
        <w:jc w:val="center"/>
        <w:rPr>
          <w:b/>
          <w:sz w:val="32"/>
        </w:rPr>
      </w:pPr>
      <w:r w:rsidRPr="001025FE">
        <w:rPr>
          <w:b/>
          <w:sz w:val="32"/>
        </w:rPr>
        <w:t>FINANCIAL REGULATIONS</w:t>
      </w:r>
    </w:p>
    <w:tbl>
      <w:tblPr>
        <w:tblW w:w="14580" w:type="dxa"/>
        <w:tblInd w:w="-72" w:type="dxa"/>
        <w:tblBorders>
          <w:insideH w:val="single" w:sz="4" w:space="0" w:color="auto"/>
        </w:tblBorders>
        <w:tblLook w:val="00A0" w:firstRow="1" w:lastRow="0" w:firstColumn="1" w:lastColumn="0" w:noHBand="0" w:noVBand="0"/>
      </w:tblPr>
      <w:tblGrid>
        <w:gridCol w:w="7054"/>
        <w:gridCol w:w="7526"/>
      </w:tblGrid>
      <w:tr w:rsidR="00F72C3B" w:rsidRPr="001025FE" w14:paraId="233E2A15" w14:textId="77777777" w:rsidTr="00C75852">
        <w:tc>
          <w:tcPr>
            <w:tcW w:w="7054" w:type="dxa"/>
          </w:tcPr>
          <w:p w14:paraId="6C3804BF" w14:textId="77777777" w:rsidR="00F72C3B" w:rsidRPr="001025FE" w:rsidRDefault="00066F86" w:rsidP="00894E4D">
            <w:pPr>
              <w:pStyle w:val="TOC1"/>
            </w:pPr>
            <w:hyperlink w:anchor="_Key_Message_for" w:history="1">
              <w:r w:rsidR="00F72C3B" w:rsidRPr="001025FE">
                <w:rPr>
                  <w:rStyle w:val="Hyperlink"/>
                  <w:rFonts w:cs="Arial"/>
                </w:rPr>
                <w:t>STATEMENT OF FINANCIAL GUIDING PRINCIPLEs</w:t>
              </w:r>
            </w:hyperlink>
          </w:p>
          <w:p w14:paraId="3C1B0D85" w14:textId="77777777" w:rsidR="00F72C3B" w:rsidRPr="001025FE" w:rsidRDefault="00066F86" w:rsidP="00894E4D">
            <w:pPr>
              <w:pStyle w:val="TOC1"/>
              <w:rPr>
                <w:noProof/>
                <w:sz w:val="22"/>
                <w:lang w:eastAsia="en-GB"/>
              </w:rPr>
            </w:pPr>
            <w:hyperlink w:anchor="_Toc379892989" w:history="1">
              <w:r w:rsidR="00F72C3B" w:rsidRPr="001025FE">
                <w:rPr>
                  <w:rStyle w:val="Hyperlink"/>
                  <w:rFonts w:cs="Arial"/>
                  <w:noProof/>
                </w:rPr>
                <w:t>1</w:t>
              </w:r>
              <w:r w:rsidR="00F72C3B" w:rsidRPr="001025FE">
                <w:rPr>
                  <w:noProof/>
                  <w:sz w:val="22"/>
                  <w:szCs w:val="22"/>
                  <w:lang w:eastAsia="en-GB"/>
                </w:rPr>
                <w:tab/>
              </w:r>
              <w:r w:rsidR="00F72C3B" w:rsidRPr="001025FE">
                <w:rPr>
                  <w:rStyle w:val="Hyperlink"/>
                  <w:rFonts w:cs="Arial"/>
                  <w:noProof/>
                </w:rPr>
                <w:t>General</w:t>
              </w:r>
            </w:hyperlink>
          </w:p>
          <w:p w14:paraId="74E28426" w14:textId="77777777" w:rsidR="00F72C3B" w:rsidRPr="001025FE" w:rsidRDefault="00066F86" w:rsidP="001E489E">
            <w:pPr>
              <w:pStyle w:val="TOC2"/>
              <w:rPr>
                <w:noProof/>
                <w:sz w:val="22"/>
                <w:szCs w:val="22"/>
                <w:lang w:eastAsia="en-GB"/>
              </w:rPr>
            </w:pPr>
            <w:hyperlink w:anchor="_Toc379892990" w:history="1">
              <w:r w:rsidR="00F72C3B" w:rsidRPr="001025FE">
                <w:rPr>
                  <w:rStyle w:val="Hyperlink"/>
                  <w:rFonts w:ascii="Arial" w:hAnsi="Arial" w:cs="Arial"/>
                  <w:noProof/>
                </w:rPr>
                <w:t>1.1</w:t>
              </w:r>
              <w:r w:rsidR="00F72C3B" w:rsidRPr="001025FE">
                <w:rPr>
                  <w:noProof/>
                  <w:sz w:val="22"/>
                  <w:szCs w:val="22"/>
                  <w:lang w:eastAsia="en-GB"/>
                </w:rPr>
                <w:tab/>
              </w:r>
              <w:r w:rsidR="00F72C3B" w:rsidRPr="001025FE">
                <w:rPr>
                  <w:rStyle w:val="Hyperlink"/>
                  <w:rFonts w:ascii="Arial" w:hAnsi="Arial" w:cs="Arial"/>
                  <w:noProof/>
                </w:rPr>
                <w:t>Introduction</w:t>
              </w:r>
            </w:hyperlink>
          </w:p>
          <w:p w14:paraId="30F4A808" w14:textId="77777777" w:rsidR="00F72C3B" w:rsidRPr="001025FE" w:rsidRDefault="00066F86" w:rsidP="001E489E">
            <w:pPr>
              <w:pStyle w:val="TOC2"/>
              <w:rPr>
                <w:noProof/>
                <w:sz w:val="22"/>
                <w:szCs w:val="22"/>
                <w:lang w:eastAsia="en-GB"/>
              </w:rPr>
            </w:pPr>
            <w:hyperlink w:anchor="_Toc379892992" w:history="1">
              <w:r w:rsidR="00F72C3B" w:rsidRPr="001025FE">
                <w:rPr>
                  <w:rStyle w:val="Hyperlink"/>
                  <w:rFonts w:ascii="Arial" w:hAnsi="Arial" w:cs="Arial"/>
                  <w:noProof/>
                </w:rPr>
                <w:t>1.2</w:t>
              </w:r>
              <w:r w:rsidR="00F72C3B" w:rsidRPr="001025FE">
                <w:rPr>
                  <w:noProof/>
                  <w:sz w:val="22"/>
                  <w:szCs w:val="22"/>
                  <w:lang w:eastAsia="en-GB"/>
                </w:rPr>
                <w:tab/>
              </w:r>
              <w:r w:rsidR="00F72C3B" w:rsidRPr="001025FE">
                <w:rPr>
                  <w:rStyle w:val="Hyperlink"/>
                  <w:rFonts w:ascii="Arial" w:hAnsi="Arial" w:cs="Arial"/>
                  <w:noProof/>
                </w:rPr>
                <w:t>Status of the Financial Regulations</w:t>
              </w:r>
            </w:hyperlink>
          </w:p>
          <w:p w14:paraId="34DF090F" w14:textId="77777777" w:rsidR="00F72C3B" w:rsidRPr="001025FE" w:rsidRDefault="00066F86" w:rsidP="001E489E">
            <w:pPr>
              <w:pStyle w:val="TOC2"/>
              <w:rPr>
                <w:noProof/>
                <w:sz w:val="22"/>
                <w:szCs w:val="22"/>
                <w:lang w:eastAsia="en-GB"/>
              </w:rPr>
            </w:pPr>
            <w:hyperlink w:anchor="_Toc379892994" w:history="1">
              <w:r w:rsidR="00F72C3B" w:rsidRPr="001025FE">
                <w:rPr>
                  <w:rStyle w:val="Hyperlink"/>
                  <w:rFonts w:ascii="Arial" w:hAnsi="Arial" w:cs="Arial"/>
                  <w:noProof/>
                </w:rPr>
                <w:t>1.3</w:t>
              </w:r>
              <w:r w:rsidR="00F72C3B" w:rsidRPr="001025FE">
                <w:rPr>
                  <w:noProof/>
                  <w:sz w:val="22"/>
                  <w:szCs w:val="22"/>
                  <w:lang w:eastAsia="en-GB"/>
                </w:rPr>
                <w:tab/>
              </w:r>
              <w:r w:rsidR="00F72C3B" w:rsidRPr="001025FE">
                <w:rPr>
                  <w:rStyle w:val="Hyperlink"/>
                  <w:rFonts w:ascii="Arial" w:hAnsi="Arial" w:cs="Arial"/>
                  <w:noProof/>
                </w:rPr>
                <w:t>Responsibilitiy for Compliance</w:t>
              </w:r>
            </w:hyperlink>
          </w:p>
          <w:p w14:paraId="6B6B493B" w14:textId="77777777" w:rsidR="00F72C3B" w:rsidRPr="001025FE" w:rsidRDefault="00066F86" w:rsidP="001E489E">
            <w:pPr>
              <w:pStyle w:val="TOC2"/>
              <w:rPr>
                <w:noProof/>
                <w:sz w:val="22"/>
                <w:szCs w:val="22"/>
                <w:lang w:eastAsia="en-GB"/>
              </w:rPr>
            </w:pPr>
            <w:hyperlink w:anchor="_Toc379892995" w:history="1">
              <w:r w:rsidR="00F72C3B" w:rsidRPr="001025FE">
                <w:rPr>
                  <w:rStyle w:val="Hyperlink"/>
                  <w:rFonts w:ascii="Arial" w:hAnsi="Arial" w:cs="Arial"/>
                  <w:noProof/>
                </w:rPr>
                <w:t>1.4</w:t>
              </w:r>
              <w:r w:rsidR="00F72C3B" w:rsidRPr="001025FE">
                <w:rPr>
                  <w:noProof/>
                  <w:sz w:val="22"/>
                  <w:szCs w:val="22"/>
                  <w:lang w:eastAsia="en-GB"/>
                </w:rPr>
                <w:tab/>
              </w:r>
              <w:r w:rsidR="00F72C3B" w:rsidRPr="001025FE">
                <w:rPr>
                  <w:rStyle w:val="Hyperlink"/>
                  <w:rFonts w:ascii="Arial" w:hAnsi="Arial" w:cs="Arial"/>
                  <w:noProof/>
                </w:rPr>
                <w:t>Scheme of Financial Delegation</w:t>
              </w:r>
            </w:hyperlink>
          </w:p>
          <w:p w14:paraId="0DE552E6" w14:textId="77777777" w:rsidR="00F72C3B" w:rsidRPr="001025FE" w:rsidRDefault="00066F86" w:rsidP="00894E4D">
            <w:pPr>
              <w:pStyle w:val="TOC1"/>
              <w:rPr>
                <w:noProof/>
                <w:sz w:val="22"/>
                <w:lang w:eastAsia="en-GB"/>
              </w:rPr>
            </w:pPr>
            <w:hyperlink w:anchor="_Toc379892996" w:history="1">
              <w:r w:rsidR="00F72C3B" w:rsidRPr="001025FE">
                <w:rPr>
                  <w:rStyle w:val="Hyperlink"/>
                  <w:rFonts w:cs="Arial"/>
                  <w:noProof/>
                </w:rPr>
                <w:t>2</w:t>
              </w:r>
              <w:r w:rsidR="00F72C3B" w:rsidRPr="001025FE">
                <w:rPr>
                  <w:noProof/>
                  <w:sz w:val="22"/>
                  <w:szCs w:val="22"/>
                  <w:lang w:eastAsia="en-GB"/>
                </w:rPr>
                <w:tab/>
              </w:r>
              <w:r w:rsidR="00F72C3B" w:rsidRPr="001025FE">
                <w:rPr>
                  <w:rStyle w:val="Hyperlink"/>
                  <w:rFonts w:cs="Arial"/>
                  <w:noProof/>
                </w:rPr>
                <w:t>Corporate Governance</w:t>
              </w:r>
            </w:hyperlink>
          </w:p>
          <w:p w14:paraId="31A9FBC6" w14:textId="77777777" w:rsidR="00F72C3B" w:rsidRPr="001025FE" w:rsidRDefault="00066F86" w:rsidP="001E489E">
            <w:pPr>
              <w:pStyle w:val="TOC2"/>
              <w:rPr>
                <w:noProof/>
                <w:sz w:val="22"/>
                <w:szCs w:val="22"/>
                <w:lang w:eastAsia="en-GB"/>
              </w:rPr>
            </w:pPr>
            <w:hyperlink w:anchor="_Toc379892997" w:history="1">
              <w:r w:rsidR="00F72C3B" w:rsidRPr="001025FE">
                <w:rPr>
                  <w:rStyle w:val="Hyperlink"/>
                  <w:rFonts w:ascii="Arial" w:hAnsi="Arial" w:cs="Arial"/>
                  <w:noProof/>
                </w:rPr>
                <w:t>2.1</w:t>
              </w:r>
              <w:r w:rsidR="00F72C3B" w:rsidRPr="001025FE">
                <w:rPr>
                  <w:noProof/>
                  <w:sz w:val="22"/>
                  <w:szCs w:val="22"/>
                  <w:lang w:eastAsia="en-GB"/>
                </w:rPr>
                <w:tab/>
              </w:r>
              <w:r w:rsidR="00F72C3B" w:rsidRPr="001025FE">
                <w:rPr>
                  <w:rStyle w:val="Hyperlink"/>
                  <w:rFonts w:ascii="Arial" w:hAnsi="Arial" w:cs="Arial"/>
                  <w:noProof/>
                </w:rPr>
                <w:t>Responsibilities</w:t>
              </w:r>
            </w:hyperlink>
          </w:p>
          <w:p w14:paraId="612CB9F0" w14:textId="77777777" w:rsidR="00F72C3B" w:rsidRPr="001025FE" w:rsidRDefault="00066F86" w:rsidP="001E489E">
            <w:pPr>
              <w:pStyle w:val="TOC2"/>
              <w:rPr>
                <w:noProof/>
                <w:sz w:val="22"/>
                <w:szCs w:val="22"/>
                <w:lang w:eastAsia="en-GB"/>
              </w:rPr>
            </w:pPr>
            <w:hyperlink w:anchor="_Toc379892998" w:history="1">
              <w:r w:rsidR="00F72C3B" w:rsidRPr="001025FE">
                <w:rPr>
                  <w:rStyle w:val="Hyperlink"/>
                  <w:rFonts w:ascii="Arial" w:hAnsi="Arial" w:cs="Arial"/>
                  <w:noProof/>
                </w:rPr>
                <w:t>2.2</w:t>
              </w:r>
              <w:r w:rsidR="00F72C3B" w:rsidRPr="001025FE">
                <w:rPr>
                  <w:noProof/>
                  <w:sz w:val="22"/>
                  <w:szCs w:val="22"/>
                  <w:lang w:eastAsia="en-GB"/>
                </w:rPr>
                <w:tab/>
              </w:r>
              <w:r w:rsidR="00F72C3B" w:rsidRPr="001025FE">
                <w:rPr>
                  <w:rStyle w:val="Hyperlink"/>
                  <w:rFonts w:ascii="Arial" w:hAnsi="Arial" w:cs="Arial"/>
                  <w:noProof/>
                </w:rPr>
                <w:t>Risk Management</w:t>
              </w:r>
            </w:hyperlink>
          </w:p>
          <w:p w14:paraId="0BE61251" w14:textId="77777777" w:rsidR="00F72C3B" w:rsidRPr="001025FE" w:rsidRDefault="00066F86" w:rsidP="001E489E">
            <w:pPr>
              <w:pStyle w:val="TOC2"/>
              <w:rPr>
                <w:noProof/>
                <w:sz w:val="22"/>
                <w:szCs w:val="22"/>
                <w:lang w:eastAsia="en-GB"/>
              </w:rPr>
            </w:pPr>
            <w:hyperlink w:anchor="_Toc379892999" w:history="1">
              <w:r w:rsidR="00F72C3B" w:rsidRPr="001025FE">
                <w:rPr>
                  <w:rStyle w:val="Hyperlink"/>
                  <w:rFonts w:ascii="Arial" w:hAnsi="Arial" w:cs="Arial"/>
                  <w:noProof/>
                </w:rPr>
                <w:t>2.3</w:t>
              </w:r>
              <w:r w:rsidR="00F72C3B" w:rsidRPr="001025FE">
                <w:rPr>
                  <w:noProof/>
                  <w:sz w:val="22"/>
                  <w:szCs w:val="22"/>
                  <w:lang w:eastAsia="en-GB"/>
                </w:rPr>
                <w:tab/>
              </w:r>
              <w:r w:rsidR="00F72C3B" w:rsidRPr="001025FE">
                <w:rPr>
                  <w:rStyle w:val="Hyperlink"/>
                  <w:rFonts w:ascii="Arial" w:hAnsi="Arial" w:cs="Arial"/>
                  <w:noProof/>
                </w:rPr>
                <w:t>Audit</w:t>
              </w:r>
            </w:hyperlink>
          </w:p>
          <w:p w14:paraId="14597702" w14:textId="77777777" w:rsidR="00F72C3B" w:rsidRPr="001025FE" w:rsidRDefault="00066F86" w:rsidP="001E489E">
            <w:pPr>
              <w:pStyle w:val="TOC2"/>
              <w:rPr>
                <w:noProof/>
                <w:sz w:val="22"/>
                <w:szCs w:val="22"/>
                <w:lang w:eastAsia="en-GB"/>
              </w:rPr>
            </w:pPr>
            <w:hyperlink w:anchor="_Toc379893000" w:history="1">
              <w:r w:rsidR="00F72C3B" w:rsidRPr="001025FE">
                <w:rPr>
                  <w:rStyle w:val="Hyperlink"/>
                  <w:rFonts w:ascii="Arial" w:hAnsi="Arial" w:cs="Arial"/>
                  <w:noProof/>
                </w:rPr>
                <w:t>2.4</w:t>
              </w:r>
              <w:r w:rsidR="00F72C3B" w:rsidRPr="001025FE">
                <w:rPr>
                  <w:noProof/>
                  <w:sz w:val="22"/>
                  <w:szCs w:val="22"/>
                  <w:lang w:eastAsia="en-GB"/>
                </w:rPr>
                <w:tab/>
              </w:r>
              <w:r w:rsidR="00F72C3B" w:rsidRPr="001025FE">
                <w:rPr>
                  <w:rStyle w:val="Hyperlink"/>
                  <w:rFonts w:ascii="Arial" w:hAnsi="Arial" w:cs="Arial"/>
                  <w:noProof/>
                </w:rPr>
                <w:t>Fraud and Bribery</w:t>
              </w:r>
            </w:hyperlink>
          </w:p>
          <w:p w14:paraId="47374970" w14:textId="77777777" w:rsidR="00F72C3B" w:rsidRPr="001025FE" w:rsidRDefault="00066F86" w:rsidP="001E489E">
            <w:pPr>
              <w:pStyle w:val="TOC2"/>
              <w:rPr>
                <w:noProof/>
                <w:sz w:val="22"/>
                <w:szCs w:val="22"/>
                <w:lang w:eastAsia="en-GB"/>
              </w:rPr>
            </w:pPr>
            <w:hyperlink w:anchor="_Toc379893001" w:history="1">
              <w:r w:rsidR="00F72C3B" w:rsidRPr="001025FE">
                <w:rPr>
                  <w:rStyle w:val="Hyperlink"/>
                  <w:rFonts w:ascii="Arial" w:hAnsi="Arial" w:cs="Arial"/>
                  <w:noProof/>
                </w:rPr>
                <w:t>2.5</w:t>
              </w:r>
              <w:r w:rsidR="00F72C3B" w:rsidRPr="001025FE">
                <w:rPr>
                  <w:noProof/>
                  <w:sz w:val="22"/>
                  <w:szCs w:val="22"/>
                  <w:lang w:eastAsia="en-GB"/>
                </w:rPr>
                <w:tab/>
              </w:r>
              <w:r w:rsidR="00F72C3B" w:rsidRPr="001025FE">
                <w:rPr>
                  <w:rStyle w:val="Hyperlink"/>
                  <w:rFonts w:ascii="Arial" w:hAnsi="Arial" w:cs="Arial"/>
                  <w:noProof/>
                </w:rPr>
                <w:t>Whistleblowing</w:t>
              </w:r>
            </w:hyperlink>
          </w:p>
          <w:p w14:paraId="2F0932FE" w14:textId="77777777" w:rsidR="00F72C3B" w:rsidRPr="001025FE" w:rsidRDefault="00066F86" w:rsidP="00894E4D">
            <w:pPr>
              <w:pStyle w:val="TOC1"/>
              <w:rPr>
                <w:noProof/>
                <w:sz w:val="22"/>
                <w:lang w:eastAsia="en-GB"/>
              </w:rPr>
            </w:pPr>
            <w:hyperlink w:anchor="_Toc379893002" w:history="1">
              <w:r w:rsidR="00F72C3B" w:rsidRPr="001025FE">
                <w:rPr>
                  <w:rStyle w:val="Hyperlink"/>
                  <w:rFonts w:cs="Arial"/>
                  <w:noProof/>
                </w:rPr>
                <w:t>3</w:t>
              </w:r>
              <w:r w:rsidR="00F72C3B" w:rsidRPr="001025FE">
                <w:rPr>
                  <w:noProof/>
                  <w:sz w:val="22"/>
                  <w:szCs w:val="22"/>
                  <w:lang w:eastAsia="en-GB"/>
                </w:rPr>
                <w:tab/>
              </w:r>
              <w:r w:rsidR="00F72C3B" w:rsidRPr="001025FE">
                <w:rPr>
                  <w:rStyle w:val="Hyperlink"/>
                  <w:rFonts w:cs="Arial"/>
                  <w:noProof/>
                </w:rPr>
                <w:t>Financial Management</w:t>
              </w:r>
            </w:hyperlink>
          </w:p>
          <w:p w14:paraId="0EF603EE" w14:textId="77777777" w:rsidR="00F72C3B" w:rsidRPr="001025FE" w:rsidRDefault="00066F86" w:rsidP="001E489E">
            <w:pPr>
              <w:pStyle w:val="TOC2"/>
              <w:rPr>
                <w:noProof/>
                <w:sz w:val="22"/>
                <w:szCs w:val="22"/>
                <w:lang w:eastAsia="en-GB"/>
              </w:rPr>
            </w:pPr>
            <w:hyperlink w:anchor="_Toc379893003" w:history="1">
              <w:r w:rsidR="00F72C3B" w:rsidRPr="001025FE">
                <w:rPr>
                  <w:rStyle w:val="Hyperlink"/>
                  <w:rFonts w:ascii="Arial" w:hAnsi="Arial" w:cs="Arial"/>
                  <w:noProof/>
                </w:rPr>
                <w:t>3.1</w:t>
              </w:r>
              <w:r w:rsidR="00F72C3B" w:rsidRPr="001025FE">
                <w:rPr>
                  <w:noProof/>
                  <w:sz w:val="22"/>
                  <w:szCs w:val="22"/>
                  <w:lang w:eastAsia="en-GB"/>
                </w:rPr>
                <w:tab/>
              </w:r>
              <w:r w:rsidR="00F72C3B" w:rsidRPr="001025FE">
                <w:rPr>
                  <w:rStyle w:val="Hyperlink"/>
                  <w:rFonts w:ascii="Arial" w:hAnsi="Arial" w:cs="Arial"/>
                  <w:noProof/>
                </w:rPr>
                <w:t>Accounting Records, Procedures and Principles</w:t>
              </w:r>
            </w:hyperlink>
          </w:p>
          <w:p w14:paraId="0F018A25" w14:textId="77777777" w:rsidR="00F72C3B" w:rsidRPr="001025FE" w:rsidRDefault="00066F86" w:rsidP="001E489E">
            <w:pPr>
              <w:pStyle w:val="TOC2"/>
              <w:rPr>
                <w:noProof/>
                <w:sz w:val="22"/>
                <w:szCs w:val="22"/>
                <w:lang w:eastAsia="en-GB"/>
              </w:rPr>
            </w:pPr>
            <w:hyperlink w:anchor="_Toc379893004" w:history="1">
              <w:r w:rsidR="00F72C3B" w:rsidRPr="001025FE">
                <w:rPr>
                  <w:rStyle w:val="Hyperlink"/>
                  <w:rFonts w:ascii="Arial" w:hAnsi="Arial" w:cs="Arial"/>
                  <w:noProof/>
                </w:rPr>
                <w:t>3.2</w:t>
              </w:r>
              <w:r w:rsidR="00F72C3B" w:rsidRPr="001025FE">
                <w:rPr>
                  <w:noProof/>
                  <w:sz w:val="22"/>
                  <w:szCs w:val="22"/>
                  <w:lang w:eastAsia="en-GB"/>
                </w:rPr>
                <w:tab/>
              </w:r>
              <w:r w:rsidR="00F72C3B" w:rsidRPr="001025FE">
                <w:rPr>
                  <w:rStyle w:val="Hyperlink"/>
                  <w:rFonts w:ascii="Arial" w:hAnsi="Arial" w:cs="Arial"/>
                  <w:noProof/>
                </w:rPr>
                <w:t>Treasury Management</w:t>
              </w:r>
            </w:hyperlink>
          </w:p>
          <w:p w14:paraId="491D6843" w14:textId="77777777" w:rsidR="00F72C3B" w:rsidRPr="001025FE" w:rsidRDefault="00066F86" w:rsidP="001E489E">
            <w:pPr>
              <w:pStyle w:val="TOC2"/>
              <w:rPr>
                <w:noProof/>
                <w:sz w:val="22"/>
                <w:szCs w:val="22"/>
                <w:lang w:eastAsia="en-GB"/>
              </w:rPr>
            </w:pPr>
            <w:hyperlink w:anchor="_Toc379893005" w:history="1">
              <w:r w:rsidR="00F72C3B" w:rsidRPr="001025FE">
                <w:rPr>
                  <w:rStyle w:val="Hyperlink"/>
                  <w:rFonts w:ascii="Arial" w:hAnsi="Arial" w:cs="Arial"/>
                  <w:noProof/>
                </w:rPr>
                <w:t>3.3</w:t>
              </w:r>
              <w:r w:rsidR="00F72C3B" w:rsidRPr="001025FE">
                <w:rPr>
                  <w:noProof/>
                  <w:sz w:val="22"/>
                  <w:szCs w:val="22"/>
                  <w:lang w:eastAsia="en-GB"/>
                </w:rPr>
                <w:tab/>
              </w:r>
              <w:r w:rsidR="00F72C3B" w:rsidRPr="001025FE">
                <w:rPr>
                  <w:rStyle w:val="Hyperlink"/>
                  <w:rFonts w:ascii="Arial" w:hAnsi="Arial" w:cs="Arial"/>
                  <w:noProof/>
                </w:rPr>
                <w:t>Banking Arrangements</w:t>
              </w:r>
            </w:hyperlink>
          </w:p>
          <w:p w14:paraId="08359C5F" w14:textId="77777777" w:rsidR="00F72C3B" w:rsidRPr="001025FE" w:rsidRDefault="00066F86" w:rsidP="001E489E">
            <w:pPr>
              <w:pStyle w:val="TOC2"/>
              <w:rPr>
                <w:noProof/>
                <w:sz w:val="22"/>
                <w:szCs w:val="22"/>
                <w:lang w:eastAsia="en-GB"/>
              </w:rPr>
            </w:pPr>
            <w:hyperlink w:anchor="_Toc379893006" w:history="1">
              <w:r w:rsidR="00F72C3B" w:rsidRPr="001025FE">
                <w:rPr>
                  <w:rStyle w:val="Hyperlink"/>
                  <w:rFonts w:ascii="Arial" w:hAnsi="Arial" w:cs="Arial"/>
                  <w:noProof/>
                </w:rPr>
                <w:t>3.4</w:t>
              </w:r>
              <w:r w:rsidR="00F72C3B" w:rsidRPr="001025FE">
                <w:rPr>
                  <w:noProof/>
                  <w:sz w:val="22"/>
                  <w:szCs w:val="22"/>
                  <w:lang w:eastAsia="en-GB"/>
                </w:rPr>
                <w:tab/>
              </w:r>
              <w:r w:rsidR="00F72C3B" w:rsidRPr="001025FE">
                <w:rPr>
                  <w:rStyle w:val="Hyperlink"/>
                  <w:rFonts w:ascii="Arial" w:hAnsi="Arial" w:cs="Arial"/>
                  <w:noProof/>
                </w:rPr>
                <w:t>Contracts</w:t>
              </w:r>
            </w:hyperlink>
          </w:p>
          <w:p w14:paraId="0BBCADAD" w14:textId="77777777" w:rsidR="00F72C3B" w:rsidRPr="001025FE" w:rsidRDefault="00F72C3B" w:rsidP="001E489E">
            <w:pPr>
              <w:pStyle w:val="TOC2"/>
              <w:rPr>
                <w:noProof/>
                <w:sz w:val="22"/>
                <w:szCs w:val="22"/>
                <w:lang w:eastAsia="en-GB"/>
              </w:rPr>
            </w:pPr>
          </w:p>
          <w:p w14:paraId="605F6C0F" w14:textId="77777777" w:rsidR="00F72C3B" w:rsidRPr="001025FE" w:rsidRDefault="00F72C3B" w:rsidP="001E489E">
            <w:pPr>
              <w:pStyle w:val="TOC2"/>
              <w:rPr>
                <w:noProof/>
                <w:lang w:eastAsia="en-GB"/>
              </w:rPr>
            </w:pPr>
          </w:p>
        </w:tc>
        <w:tc>
          <w:tcPr>
            <w:tcW w:w="7526" w:type="dxa"/>
          </w:tcPr>
          <w:p w14:paraId="47C16DB7" w14:textId="77777777" w:rsidR="00F72C3B" w:rsidRPr="001025FE" w:rsidRDefault="00066F86" w:rsidP="00894E4D">
            <w:pPr>
              <w:pStyle w:val="TOC1"/>
              <w:rPr>
                <w:noProof/>
                <w:sz w:val="22"/>
                <w:lang w:eastAsia="en-GB"/>
              </w:rPr>
            </w:pPr>
            <w:hyperlink w:anchor="_Toc379893008" w:history="1">
              <w:r w:rsidR="00F72C3B" w:rsidRPr="001025FE">
                <w:rPr>
                  <w:rStyle w:val="Hyperlink"/>
                  <w:rFonts w:cs="Arial"/>
                  <w:noProof/>
                </w:rPr>
                <w:t>4</w:t>
              </w:r>
              <w:r w:rsidR="00F72C3B" w:rsidRPr="001025FE">
                <w:rPr>
                  <w:noProof/>
                  <w:sz w:val="22"/>
                  <w:szCs w:val="22"/>
                  <w:lang w:eastAsia="en-GB"/>
                </w:rPr>
                <w:tab/>
              </w:r>
              <w:r w:rsidR="00F72C3B" w:rsidRPr="001025FE">
                <w:rPr>
                  <w:rStyle w:val="Hyperlink"/>
                  <w:rFonts w:cs="Arial"/>
                  <w:noProof/>
                </w:rPr>
                <w:t>Income, Commercial Activity and Debtors</w:t>
              </w:r>
            </w:hyperlink>
          </w:p>
          <w:p w14:paraId="629ADF65" w14:textId="77777777" w:rsidR="00F72C3B" w:rsidRPr="001025FE" w:rsidRDefault="00066F86" w:rsidP="001E489E">
            <w:pPr>
              <w:pStyle w:val="TOC2"/>
              <w:rPr>
                <w:noProof/>
                <w:sz w:val="22"/>
                <w:szCs w:val="22"/>
                <w:lang w:eastAsia="en-GB"/>
              </w:rPr>
            </w:pPr>
            <w:hyperlink w:anchor="_Toc379893009" w:history="1">
              <w:r w:rsidR="00F72C3B" w:rsidRPr="001025FE">
                <w:rPr>
                  <w:rStyle w:val="Hyperlink"/>
                  <w:rFonts w:ascii="Arial" w:hAnsi="Arial" w:cs="Arial"/>
                  <w:noProof/>
                </w:rPr>
                <w:t>4.1</w:t>
              </w:r>
              <w:r w:rsidR="00F72C3B" w:rsidRPr="001025FE">
                <w:rPr>
                  <w:noProof/>
                  <w:sz w:val="22"/>
                  <w:szCs w:val="22"/>
                  <w:lang w:eastAsia="en-GB"/>
                </w:rPr>
                <w:tab/>
              </w:r>
              <w:r w:rsidR="00F72C3B" w:rsidRPr="001025FE">
                <w:rPr>
                  <w:rStyle w:val="Hyperlink"/>
                  <w:rFonts w:ascii="Arial" w:hAnsi="Arial" w:cs="Arial"/>
                  <w:noProof/>
                </w:rPr>
                <w:t>Invoicing and Collection of ‘Non-Cash’ Income</w:t>
              </w:r>
            </w:hyperlink>
          </w:p>
          <w:p w14:paraId="6A78FE54" w14:textId="77777777" w:rsidR="00F72C3B" w:rsidRPr="001025FE" w:rsidRDefault="00066F86" w:rsidP="001E489E">
            <w:pPr>
              <w:pStyle w:val="TOC2"/>
              <w:rPr>
                <w:noProof/>
                <w:sz w:val="22"/>
                <w:szCs w:val="22"/>
                <w:lang w:eastAsia="en-GB"/>
              </w:rPr>
            </w:pPr>
            <w:hyperlink w:anchor="_Toc379893010" w:history="1">
              <w:r w:rsidR="00F72C3B" w:rsidRPr="001025FE">
                <w:rPr>
                  <w:rStyle w:val="Hyperlink"/>
                  <w:rFonts w:ascii="Arial" w:hAnsi="Arial" w:cs="Arial"/>
                  <w:noProof/>
                </w:rPr>
                <w:t>4.2</w:t>
              </w:r>
              <w:r w:rsidR="00F72C3B" w:rsidRPr="001025FE">
                <w:rPr>
                  <w:noProof/>
                  <w:sz w:val="22"/>
                  <w:szCs w:val="22"/>
                  <w:lang w:eastAsia="en-GB"/>
                </w:rPr>
                <w:tab/>
              </w:r>
              <w:r w:rsidR="00F72C3B" w:rsidRPr="001025FE">
                <w:rPr>
                  <w:rStyle w:val="Hyperlink"/>
                  <w:rFonts w:ascii="Arial" w:hAnsi="Arial" w:cs="Arial"/>
                  <w:noProof/>
                </w:rPr>
                <w:t>Cash Income</w:t>
              </w:r>
            </w:hyperlink>
          </w:p>
          <w:p w14:paraId="3EC1D826" w14:textId="77777777" w:rsidR="00F72C3B" w:rsidRPr="001025FE" w:rsidRDefault="00066F86" w:rsidP="001E489E">
            <w:pPr>
              <w:pStyle w:val="TOC2"/>
              <w:rPr>
                <w:noProof/>
                <w:sz w:val="22"/>
                <w:szCs w:val="22"/>
                <w:lang w:eastAsia="en-GB"/>
              </w:rPr>
            </w:pPr>
            <w:hyperlink w:anchor="_Toc379893011" w:history="1">
              <w:r w:rsidR="00F72C3B" w:rsidRPr="001025FE">
                <w:rPr>
                  <w:rStyle w:val="Hyperlink"/>
                  <w:rFonts w:ascii="Arial" w:hAnsi="Arial" w:cs="Arial"/>
                  <w:noProof/>
                </w:rPr>
                <w:t>4.3</w:t>
              </w:r>
              <w:r w:rsidR="00F72C3B" w:rsidRPr="001025FE">
                <w:rPr>
                  <w:noProof/>
                  <w:sz w:val="22"/>
                  <w:szCs w:val="22"/>
                  <w:lang w:eastAsia="en-GB"/>
                </w:rPr>
                <w:tab/>
              </w:r>
              <w:r w:rsidR="00F72C3B" w:rsidRPr="001025FE">
                <w:rPr>
                  <w:rStyle w:val="Hyperlink"/>
                  <w:rFonts w:ascii="Arial" w:hAnsi="Arial" w:cs="Arial"/>
                  <w:noProof/>
                </w:rPr>
                <w:t>Fundraising and Gifts Received</w:t>
              </w:r>
            </w:hyperlink>
          </w:p>
          <w:p w14:paraId="2D8DF868" w14:textId="77777777" w:rsidR="00F72C3B" w:rsidRPr="001025FE" w:rsidRDefault="00066F86" w:rsidP="001E489E">
            <w:pPr>
              <w:pStyle w:val="TOC2"/>
            </w:pPr>
            <w:hyperlink w:anchor="_Toc379893012" w:history="1">
              <w:r w:rsidR="00F72C3B" w:rsidRPr="001025FE">
                <w:rPr>
                  <w:rStyle w:val="Hyperlink"/>
                  <w:rFonts w:ascii="Arial" w:hAnsi="Arial" w:cs="Arial"/>
                  <w:noProof/>
                </w:rPr>
                <w:t>4.4</w:t>
              </w:r>
              <w:r w:rsidR="00F72C3B" w:rsidRPr="001025FE">
                <w:rPr>
                  <w:noProof/>
                  <w:sz w:val="22"/>
                  <w:szCs w:val="22"/>
                  <w:lang w:eastAsia="en-GB"/>
                </w:rPr>
                <w:tab/>
              </w:r>
              <w:r w:rsidR="00F72C3B" w:rsidRPr="001025FE">
                <w:rPr>
                  <w:rStyle w:val="Hyperlink"/>
                  <w:rFonts w:ascii="Arial" w:hAnsi="Arial" w:cs="Arial"/>
                  <w:noProof/>
                </w:rPr>
                <w:t>Student Welfare and Access Funds</w:t>
              </w:r>
            </w:hyperlink>
          </w:p>
          <w:p w14:paraId="3A7F7603" w14:textId="77777777" w:rsidR="00F72C3B" w:rsidRPr="001025FE" w:rsidRDefault="00066F86" w:rsidP="00F361CC">
            <w:pPr>
              <w:pStyle w:val="TOC2"/>
              <w:rPr>
                <w:rStyle w:val="Hyperlink"/>
                <w:rFonts w:ascii="Arial" w:hAnsi="Arial" w:cs="Arial"/>
                <w:noProof/>
              </w:rPr>
            </w:pPr>
            <w:hyperlink w:anchor="_Toc379893013" w:history="1">
              <w:r w:rsidR="00F72C3B" w:rsidRPr="001025FE">
                <w:rPr>
                  <w:rStyle w:val="Hyperlink"/>
                  <w:rFonts w:ascii="Arial" w:hAnsi="Arial" w:cs="Arial"/>
                  <w:noProof/>
                </w:rPr>
                <w:t>4.5</w:t>
              </w:r>
              <w:r w:rsidR="00F72C3B" w:rsidRPr="001025FE">
                <w:rPr>
                  <w:noProof/>
                  <w:sz w:val="22"/>
                  <w:szCs w:val="22"/>
                  <w:lang w:eastAsia="en-GB"/>
                </w:rPr>
                <w:tab/>
              </w:r>
              <w:r w:rsidR="00F72C3B" w:rsidRPr="001025FE">
                <w:rPr>
                  <w:rStyle w:val="Hyperlink"/>
                  <w:rFonts w:ascii="Arial" w:hAnsi="Arial" w:cs="Arial"/>
                  <w:noProof/>
                </w:rPr>
                <w:t>Private Work and Other Appointments</w:t>
              </w:r>
            </w:hyperlink>
          </w:p>
          <w:p w14:paraId="46DF2ED3" w14:textId="77777777" w:rsidR="00F72C3B" w:rsidRPr="001025FE" w:rsidRDefault="00066F86" w:rsidP="001E489E">
            <w:pPr>
              <w:pStyle w:val="TOC2"/>
              <w:rPr>
                <w:rStyle w:val="Hyperlink"/>
                <w:rFonts w:ascii="Arial" w:hAnsi="Arial" w:cs="Arial"/>
                <w:noProof/>
              </w:rPr>
            </w:pPr>
            <w:hyperlink w:anchor="_Toc379893013" w:history="1">
              <w:r w:rsidR="00F72C3B" w:rsidRPr="001025FE">
                <w:rPr>
                  <w:rStyle w:val="Hyperlink"/>
                  <w:rFonts w:ascii="Arial" w:hAnsi="Arial" w:cs="Arial"/>
                  <w:noProof/>
                </w:rPr>
                <w:t>4.6</w:t>
              </w:r>
              <w:r w:rsidR="00F72C3B" w:rsidRPr="001025FE">
                <w:rPr>
                  <w:noProof/>
                  <w:sz w:val="22"/>
                  <w:szCs w:val="22"/>
                  <w:lang w:eastAsia="en-GB"/>
                </w:rPr>
                <w:tab/>
              </w:r>
              <w:r w:rsidR="00F72C3B" w:rsidRPr="001025FE">
                <w:rPr>
                  <w:rStyle w:val="Hyperlink"/>
                  <w:rFonts w:ascii="Arial" w:hAnsi="Arial" w:cs="Arial"/>
                  <w:noProof/>
                </w:rPr>
                <w:t>Subsidiaries, Joint Ventures and Associated Companies</w:t>
              </w:r>
            </w:hyperlink>
          </w:p>
          <w:p w14:paraId="7B143768" w14:textId="77777777" w:rsidR="00F72C3B" w:rsidRPr="001025FE" w:rsidRDefault="00066F86" w:rsidP="00894E4D">
            <w:pPr>
              <w:pStyle w:val="TOC1"/>
              <w:rPr>
                <w:noProof/>
                <w:sz w:val="22"/>
                <w:lang w:eastAsia="en-GB"/>
              </w:rPr>
            </w:pPr>
            <w:hyperlink w:anchor="_Toc379893015" w:history="1">
              <w:r w:rsidR="00F72C3B" w:rsidRPr="001025FE">
                <w:rPr>
                  <w:rStyle w:val="Hyperlink"/>
                  <w:rFonts w:cs="Arial"/>
                  <w:noProof/>
                </w:rPr>
                <w:t>5</w:t>
              </w:r>
              <w:r w:rsidR="00F72C3B" w:rsidRPr="001025FE">
                <w:rPr>
                  <w:noProof/>
                  <w:sz w:val="22"/>
                  <w:szCs w:val="22"/>
                  <w:lang w:eastAsia="en-GB"/>
                </w:rPr>
                <w:tab/>
              </w:r>
              <w:r w:rsidR="00F72C3B" w:rsidRPr="001025FE">
                <w:rPr>
                  <w:rStyle w:val="Hyperlink"/>
                  <w:rFonts w:cs="Arial"/>
                  <w:noProof/>
                </w:rPr>
                <w:t>Expenditure and Creditors</w:t>
              </w:r>
            </w:hyperlink>
          </w:p>
          <w:p w14:paraId="519E7A0E" w14:textId="77777777" w:rsidR="00F72C3B" w:rsidRPr="001025FE" w:rsidRDefault="00066F86" w:rsidP="001E489E">
            <w:pPr>
              <w:pStyle w:val="TOC2"/>
              <w:rPr>
                <w:noProof/>
                <w:sz w:val="22"/>
                <w:szCs w:val="22"/>
                <w:lang w:eastAsia="en-GB"/>
              </w:rPr>
            </w:pPr>
            <w:hyperlink w:anchor="_Toc379893016" w:history="1">
              <w:r w:rsidR="00F72C3B" w:rsidRPr="001025FE">
                <w:rPr>
                  <w:rStyle w:val="Hyperlink"/>
                  <w:rFonts w:ascii="Arial" w:hAnsi="Arial" w:cs="Arial"/>
                  <w:noProof/>
                </w:rPr>
                <w:t>5.1</w:t>
              </w:r>
              <w:r w:rsidR="00F72C3B" w:rsidRPr="001025FE">
                <w:rPr>
                  <w:noProof/>
                  <w:sz w:val="22"/>
                  <w:szCs w:val="22"/>
                  <w:lang w:eastAsia="en-GB"/>
                </w:rPr>
                <w:tab/>
              </w:r>
              <w:r w:rsidR="00F72C3B" w:rsidRPr="001025FE">
                <w:rPr>
                  <w:rStyle w:val="Hyperlink"/>
                  <w:rFonts w:ascii="Arial" w:hAnsi="Arial" w:cs="Arial"/>
                  <w:noProof/>
                </w:rPr>
                <w:t>Ordering and Payment of Goods and Services</w:t>
              </w:r>
            </w:hyperlink>
          </w:p>
          <w:p w14:paraId="47BD4CDE" w14:textId="77777777" w:rsidR="00F72C3B" w:rsidRPr="001025FE" w:rsidRDefault="00066F86" w:rsidP="001E489E">
            <w:pPr>
              <w:pStyle w:val="TOC2"/>
              <w:rPr>
                <w:noProof/>
                <w:sz w:val="22"/>
                <w:szCs w:val="22"/>
                <w:lang w:eastAsia="en-GB"/>
              </w:rPr>
            </w:pPr>
            <w:hyperlink w:anchor="_Toc379893017" w:history="1">
              <w:r w:rsidR="00F72C3B" w:rsidRPr="001025FE">
                <w:rPr>
                  <w:rStyle w:val="Hyperlink"/>
                  <w:rFonts w:ascii="Arial" w:hAnsi="Arial" w:cs="Arial"/>
                  <w:noProof/>
                </w:rPr>
                <w:t>5.2</w:t>
              </w:r>
              <w:r w:rsidR="00F72C3B" w:rsidRPr="001025FE">
                <w:rPr>
                  <w:noProof/>
                  <w:sz w:val="22"/>
                  <w:szCs w:val="22"/>
                  <w:lang w:eastAsia="en-GB"/>
                </w:rPr>
                <w:tab/>
              </w:r>
              <w:r w:rsidR="00F72C3B" w:rsidRPr="001025FE">
                <w:rPr>
                  <w:rStyle w:val="Hyperlink"/>
                  <w:rFonts w:ascii="Arial" w:hAnsi="Arial" w:cs="Arial"/>
                  <w:noProof/>
                </w:rPr>
                <w:t>Non-Pay Revenue Expenditure</w:t>
              </w:r>
            </w:hyperlink>
          </w:p>
          <w:p w14:paraId="443ABC10" w14:textId="77777777" w:rsidR="00F72C3B" w:rsidRPr="001025FE" w:rsidRDefault="00066F86" w:rsidP="001E489E">
            <w:pPr>
              <w:pStyle w:val="TOC2"/>
              <w:rPr>
                <w:noProof/>
                <w:sz w:val="22"/>
                <w:szCs w:val="22"/>
                <w:lang w:eastAsia="en-GB"/>
              </w:rPr>
            </w:pPr>
            <w:hyperlink w:anchor="_Toc379893018" w:history="1">
              <w:r w:rsidR="00F72C3B" w:rsidRPr="001025FE">
                <w:rPr>
                  <w:rStyle w:val="Hyperlink"/>
                  <w:rFonts w:ascii="Arial" w:hAnsi="Arial" w:cs="Arial"/>
                  <w:noProof/>
                </w:rPr>
                <w:t>5.3</w:t>
              </w:r>
              <w:r w:rsidR="00F72C3B" w:rsidRPr="001025FE">
                <w:rPr>
                  <w:noProof/>
                  <w:sz w:val="22"/>
                  <w:szCs w:val="22"/>
                  <w:lang w:eastAsia="en-GB"/>
                </w:rPr>
                <w:tab/>
              </w:r>
              <w:r w:rsidR="00F72C3B" w:rsidRPr="001025FE">
                <w:rPr>
                  <w:rStyle w:val="Hyperlink"/>
                  <w:rFonts w:ascii="Arial" w:hAnsi="Arial" w:cs="Arial"/>
                  <w:noProof/>
                </w:rPr>
                <w:t>Capital Expenditure</w:t>
              </w:r>
            </w:hyperlink>
          </w:p>
          <w:p w14:paraId="1C4D7C5E" w14:textId="77777777" w:rsidR="00F72C3B" w:rsidRPr="001025FE" w:rsidRDefault="00066F86" w:rsidP="001E489E">
            <w:pPr>
              <w:pStyle w:val="TOC2"/>
              <w:rPr>
                <w:noProof/>
                <w:sz w:val="22"/>
                <w:szCs w:val="22"/>
                <w:lang w:eastAsia="en-GB"/>
              </w:rPr>
            </w:pPr>
            <w:hyperlink w:anchor="_Toc379893019" w:history="1">
              <w:r w:rsidR="00F72C3B" w:rsidRPr="001025FE">
                <w:rPr>
                  <w:rStyle w:val="Hyperlink"/>
                  <w:rFonts w:ascii="Arial" w:hAnsi="Arial" w:cs="Arial"/>
                  <w:noProof/>
                </w:rPr>
                <w:t>5.4</w:t>
              </w:r>
              <w:r w:rsidR="00F72C3B" w:rsidRPr="001025FE">
                <w:rPr>
                  <w:noProof/>
                  <w:sz w:val="22"/>
                  <w:szCs w:val="22"/>
                  <w:lang w:eastAsia="en-GB"/>
                </w:rPr>
                <w:tab/>
              </w:r>
              <w:r w:rsidR="00F72C3B" w:rsidRPr="001025FE">
                <w:rPr>
                  <w:rStyle w:val="Hyperlink"/>
                  <w:rFonts w:ascii="Arial" w:hAnsi="Arial" w:cs="Arial"/>
                  <w:noProof/>
                </w:rPr>
                <w:t>Appointment and Payments to Employees</w:t>
              </w:r>
            </w:hyperlink>
          </w:p>
          <w:p w14:paraId="63A8F1B8" w14:textId="77777777" w:rsidR="00F72C3B" w:rsidRPr="001025FE" w:rsidRDefault="00066F86" w:rsidP="00894E4D">
            <w:pPr>
              <w:pStyle w:val="TOC1"/>
              <w:rPr>
                <w:noProof/>
                <w:sz w:val="22"/>
                <w:lang w:eastAsia="en-GB"/>
              </w:rPr>
            </w:pPr>
            <w:hyperlink w:anchor="_Toc379893020" w:history="1">
              <w:r w:rsidR="00F72C3B" w:rsidRPr="001025FE">
                <w:rPr>
                  <w:rStyle w:val="Hyperlink"/>
                  <w:rFonts w:cs="Arial"/>
                  <w:noProof/>
                </w:rPr>
                <w:t>6</w:t>
              </w:r>
              <w:r w:rsidR="00F72C3B" w:rsidRPr="001025FE">
                <w:rPr>
                  <w:noProof/>
                  <w:sz w:val="22"/>
                  <w:szCs w:val="22"/>
                  <w:lang w:eastAsia="en-GB"/>
                </w:rPr>
                <w:tab/>
              </w:r>
              <w:r w:rsidR="00F72C3B" w:rsidRPr="001025FE">
                <w:rPr>
                  <w:rStyle w:val="Hyperlink"/>
                  <w:rFonts w:cs="Arial"/>
                  <w:noProof/>
                </w:rPr>
                <w:t xml:space="preserve">Assets </w:t>
              </w:r>
            </w:hyperlink>
          </w:p>
          <w:p w14:paraId="634E1C4C" w14:textId="77777777" w:rsidR="00F72C3B" w:rsidRPr="001025FE" w:rsidRDefault="00066F86" w:rsidP="00F3060C">
            <w:pPr>
              <w:pStyle w:val="TOC2"/>
            </w:pPr>
            <w:hyperlink w:anchor="_Toc379893021" w:history="1">
              <w:r w:rsidR="00F72C3B" w:rsidRPr="001025FE">
                <w:rPr>
                  <w:rStyle w:val="Hyperlink"/>
                  <w:rFonts w:ascii="Arial" w:hAnsi="Arial" w:cs="Arial"/>
                  <w:noProof/>
                </w:rPr>
                <w:t>6.1</w:t>
              </w:r>
              <w:r w:rsidR="00F72C3B" w:rsidRPr="001025FE">
                <w:rPr>
                  <w:noProof/>
                  <w:sz w:val="22"/>
                  <w:szCs w:val="22"/>
                  <w:lang w:eastAsia="en-GB"/>
                </w:rPr>
                <w:tab/>
              </w:r>
              <w:r w:rsidR="00F72C3B" w:rsidRPr="001025FE">
                <w:rPr>
                  <w:rStyle w:val="Hyperlink"/>
                  <w:rFonts w:ascii="Arial" w:hAnsi="Arial" w:cs="Arial"/>
                  <w:noProof/>
                </w:rPr>
                <w:t>Physical Assets</w:t>
              </w:r>
            </w:hyperlink>
          </w:p>
          <w:p w14:paraId="46A0847F" w14:textId="77777777" w:rsidR="00F72C3B" w:rsidRPr="001025FE" w:rsidRDefault="00066F86" w:rsidP="001E489E">
            <w:pPr>
              <w:pStyle w:val="TOC2"/>
              <w:rPr>
                <w:noProof/>
                <w:sz w:val="22"/>
                <w:szCs w:val="22"/>
                <w:lang w:eastAsia="en-GB"/>
              </w:rPr>
            </w:pPr>
            <w:hyperlink w:anchor="_Toc379893022" w:history="1">
              <w:r w:rsidR="00F72C3B" w:rsidRPr="001025FE">
                <w:rPr>
                  <w:rStyle w:val="Hyperlink"/>
                  <w:rFonts w:ascii="Arial" w:hAnsi="Arial" w:cs="Arial"/>
                  <w:noProof/>
                </w:rPr>
                <w:t>6.2</w:t>
              </w:r>
              <w:r w:rsidR="00F72C3B" w:rsidRPr="001025FE">
                <w:rPr>
                  <w:noProof/>
                  <w:sz w:val="22"/>
                  <w:szCs w:val="22"/>
                  <w:lang w:eastAsia="en-GB"/>
                </w:rPr>
                <w:tab/>
              </w:r>
              <w:r w:rsidR="00F72C3B" w:rsidRPr="001025FE">
                <w:rPr>
                  <w:rStyle w:val="Hyperlink"/>
                  <w:rFonts w:ascii="Arial" w:hAnsi="Arial" w:cs="Arial"/>
                  <w:noProof/>
                </w:rPr>
                <w:t>Intellectual Assets</w:t>
              </w:r>
            </w:hyperlink>
          </w:p>
          <w:p w14:paraId="1707E3C4" w14:textId="77777777" w:rsidR="00F72C3B" w:rsidRPr="001025FE" w:rsidRDefault="00066F86" w:rsidP="001E489E">
            <w:pPr>
              <w:pStyle w:val="TOC2"/>
              <w:rPr>
                <w:noProof/>
                <w:sz w:val="22"/>
                <w:szCs w:val="22"/>
                <w:lang w:eastAsia="en-GB"/>
              </w:rPr>
            </w:pPr>
            <w:hyperlink w:anchor="_Toc379893023" w:history="1">
              <w:r w:rsidR="00F72C3B" w:rsidRPr="001025FE">
                <w:rPr>
                  <w:rStyle w:val="Hyperlink"/>
                  <w:rFonts w:ascii="Arial" w:hAnsi="Arial" w:cs="Arial"/>
                  <w:noProof/>
                </w:rPr>
                <w:t>6.3</w:t>
              </w:r>
              <w:r w:rsidR="00F72C3B" w:rsidRPr="001025FE">
                <w:rPr>
                  <w:noProof/>
                  <w:sz w:val="22"/>
                  <w:szCs w:val="22"/>
                  <w:lang w:eastAsia="en-GB"/>
                </w:rPr>
                <w:tab/>
              </w:r>
              <w:r w:rsidR="00F72C3B" w:rsidRPr="001025FE">
                <w:rPr>
                  <w:rStyle w:val="Hyperlink"/>
                  <w:rFonts w:ascii="Arial" w:hAnsi="Arial" w:cs="Arial"/>
                  <w:noProof/>
                </w:rPr>
                <w:t>Insurance</w:t>
              </w:r>
            </w:hyperlink>
          </w:p>
          <w:p w14:paraId="24B991B3" w14:textId="77777777" w:rsidR="00F72C3B" w:rsidRPr="001025FE" w:rsidRDefault="00F72C3B" w:rsidP="002A58B2">
            <w:pPr>
              <w:rPr>
                <w:b/>
              </w:rPr>
            </w:pPr>
          </w:p>
          <w:p w14:paraId="7E173C0B" w14:textId="7EDABF7E" w:rsidR="00F72C3B" w:rsidRPr="001025FE" w:rsidRDefault="00F72C3B" w:rsidP="002A58B2">
            <w:pPr>
              <w:rPr>
                <w:b/>
                <w:color w:val="0000FF"/>
                <w:sz w:val="20"/>
                <w:szCs w:val="20"/>
                <w:u w:val="single"/>
              </w:rPr>
            </w:pPr>
            <w:r w:rsidRPr="001025FE">
              <w:rPr>
                <w:b/>
                <w:color w:val="0000FF"/>
                <w:sz w:val="20"/>
                <w:szCs w:val="20"/>
                <w:u w:val="single"/>
              </w:rPr>
              <w:t>APPENDIX A   SCHE</w:t>
            </w:r>
            <w:r w:rsidR="00627F7F">
              <w:rPr>
                <w:b/>
                <w:color w:val="0000FF"/>
                <w:sz w:val="20"/>
                <w:szCs w:val="20"/>
                <w:u w:val="single"/>
              </w:rPr>
              <w:t>ME</w:t>
            </w:r>
            <w:r w:rsidRPr="001025FE">
              <w:rPr>
                <w:b/>
                <w:color w:val="0000FF"/>
                <w:sz w:val="20"/>
                <w:szCs w:val="20"/>
                <w:u w:val="single"/>
              </w:rPr>
              <w:t xml:space="preserve"> OF DELEGATED FINANCIAL AUTHORITY</w:t>
            </w:r>
          </w:p>
          <w:p w14:paraId="5C675ECA" w14:textId="0C1EA10B" w:rsidR="00F72C3B" w:rsidRPr="001025FE" w:rsidRDefault="00F72C3B" w:rsidP="00C75852">
            <w:pPr>
              <w:rPr>
                <w:b/>
                <w:color w:val="0000FF"/>
                <w:sz w:val="20"/>
                <w:szCs w:val="20"/>
                <w:u w:val="single"/>
              </w:rPr>
            </w:pPr>
            <w:r w:rsidRPr="001025FE">
              <w:rPr>
                <w:b/>
                <w:color w:val="0000FF"/>
                <w:sz w:val="20"/>
                <w:szCs w:val="20"/>
                <w:u w:val="single"/>
              </w:rPr>
              <w:t>APPENDIX B   FORM TO REQUEST WAIVER OF FINANCIAL REGUL</w:t>
            </w:r>
            <w:r w:rsidR="00BE76E9">
              <w:rPr>
                <w:b/>
                <w:color w:val="0000FF"/>
                <w:sz w:val="20"/>
                <w:szCs w:val="20"/>
                <w:u w:val="single"/>
              </w:rPr>
              <w:t>A</w:t>
            </w:r>
            <w:r w:rsidRPr="001025FE">
              <w:rPr>
                <w:b/>
                <w:color w:val="0000FF"/>
                <w:sz w:val="20"/>
                <w:szCs w:val="20"/>
                <w:u w:val="single"/>
              </w:rPr>
              <w:t>TIONS</w:t>
            </w:r>
          </w:p>
          <w:p w14:paraId="04AC61B3" w14:textId="77777777" w:rsidR="00F72C3B" w:rsidRPr="001025FE" w:rsidRDefault="00F72C3B" w:rsidP="00C75852">
            <w:pPr>
              <w:rPr>
                <w:b/>
                <w:color w:val="0000FF"/>
                <w:sz w:val="20"/>
                <w:szCs w:val="20"/>
                <w:u w:val="single"/>
              </w:rPr>
            </w:pPr>
            <w:r w:rsidRPr="001025FE">
              <w:rPr>
                <w:b/>
                <w:color w:val="0000FF"/>
                <w:sz w:val="20"/>
                <w:szCs w:val="20"/>
                <w:u w:val="single"/>
              </w:rPr>
              <w:t>APPENDIX C   SCHEDULE OF SUPPORTING POLICIES</w:t>
            </w:r>
          </w:p>
          <w:p w14:paraId="642CBC3C" w14:textId="0E14D98C" w:rsidR="00F72C3B" w:rsidRPr="001025FE" w:rsidRDefault="00F72C3B" w:rsidP="000D59CE">
            <w:pPr>
              <w:spacing w:after="0"/>
              <w:rPr>
                <w:b/>
              </w:rPr>
            </w:pPr>
          </w:p>
        </w:tc>
      </w:tr>
    </w:tbl>
    <w:p w14:paraId="22E12AC4" w14:textId="77777777" w:rsidR="00F72C3B" w:rsidRPr="001025FE" w:rsidRDefault="00F72C3B" w:rsidP="002A58B2">
      <w:pPr>
        <w:rPr>
          <w:b/>
        </w:rPr>
        <w:sectPr w:rsidR="00F72C3B" w:rsidRPr="001025FE" w:rsidSect="00EA631B">
          <w:footerReference w:type="default" r:id="rId8"/>
          <w:footnotePr>
            <w:numRestart w:val="eachSect"/>
          </w:footnotePr>
          <w:endnotePr>
            <w:numFmt w:val="decimal"/>
          </w:endnotePr>
          <w:pgSz w:w="16840" w:h="11900" w:orient="landscape"/>
          <w:pgMar w:top="1077" w:right="1134" w:bottom="985" w:left="1440" w:header="720" w:footer="720" w:gutter="0"/>
          <w:pgNumType w:start="1"/>
          <w:cols w:space="0"/>
          <w:docGrid w:linePitch="299"/>
        </w:sectPr>
      </w:pPr>
    </w:p>
    <w:p w14:paraId="33327174" w14:textId="77777777" w:rsidR="00F72C3B" w:rsidRPr="001025FE" w:rsidRDefault="00F72C3B" w:rsidP="002D730C">
      <w:pPr>
        <w:pStyle w:val="Heading1"/>
        <w:numPr>
          <w:ilvl w:val="0"/>
          <w:numId w:val="0"/>
        </w:numPr>
        <w:ind w:left="432"/>
        <w:jc w:val="center"/>
        <w:rPr>
          <w:u w:val="single"/>
        </w:rPr>
      </w:pPr>
      <w:bookmarkStart w:id="1" w:name="_General"/>
      <w:bookmarkStart w:id="2" w:name="_Key_Message_for"/>
      <w:bookmarkStart w:id="3" w:name="_Toc378680933"/>
      <w:bookmarkStart w:id="4" w:name="_Toc379892881"/>
      <w:bookmarkStart w:id="5" w:name="_Toc379892989"/>
      <w:bookmarkEnd w:id="1"/>
      <w:bookmarkEnd w:id="2"/>
      <w:r w:rsidRPr="001025FE">
        <w:rPr>
          <w:u w:val="single"/>
        </w:rPr>
        <w:lastRenderedPageBreak/>
        <w:t>STATEMENT OF FINANCIAL GUIDING PRINCIPLES</w:t>
      </w:r>
    </w:p>
    <w:p w14:paraId="31373739" w14:textId="77777777" w:rsidR="00F72C3B" w:rsidRPr="001025FE" w:rsidRDefault="00F72C3B" w:rsidP="00DC41A2"/>
    <w:p w14:paraId="2E4E5582" w14:textId="77777777" w:rsidR="00F72C3B" w:rsidRPr="001025FE" w:rsidRDefault="00F72C3B" w:rsidP="00F361CC">
      <w:pPr>
        <w:spacing w:before="360" w:after="240"/>
        <w:jc w:val="both"/>
        <w:rPr>
          <w:rFonts w:cs="Arial"/>
        </w:rPr>
      </w:pPr>
      <w:r w:rsidRPr="001025FE">
        <w:rPr>
          <w:rFonts w:cs="Arial"/>
        </w:rPr>
        <w:t>The Financial Guiding Principles set out below support and direct every member of the University in achieving our Corporate Objective of “creating a financial environment to allow us to invest in our future”.</w:t>
      </w:r>
    </w:p>
    <w:p w14:paraId="0E3320DD" w14:textId="77777777" w:rsidR="00F72C3B" w:rsidRPr="001025FE" w:rsidRDefault="00F72C3B" w:rsidP="00F361CC">
      <w:pPr>
        <w:spacing w:before="360" w:after="240"/>
        <w:jc w:val="both"/>
        <w:rPr>
          <w:rFonts w:cs="Arial"/>
        </w:rPr>
      </w:pPr>
    </w:p>
    <w:p w14:paraId="5A808072" w14:textId="77777777" w:rsidR="00F72C3B" w:rsidRPr="001025FE" w:rsidRDefault="00F72C3B" w:rsidP="005F534F">
      <w:pPr>
        <w:pStyle w:val="ListParagraph"/>
        <w:numPr>
          <w:ilvl w:val="0"/>
          <w:numId w:val="9"/>
        </w:numPr>
        <w:spacing w:before="360" w:after="240"/>
        <w:ind w:left="1843"/>
        <w:rPr>
          <w:rFonts w:cs="Arial"/>
          <w:b/>
          <w:sz w:val="28"/>
        </w:rPr>
      </w:pPr>
      <w:r w:rsidRPr="001025FE">
        <w:rPr>
          <w:rFonts w:cs="Arial"/>
          <w:b/>
          <w:sz w:val="28"/>
        </w:rPr>
        <w:t>We shall obey the law and abide by relevant regulations</w:t>
      </w:r>
    </w:p>
    <w:p w14:paraId="0ECC7E2B" w14:textId="77777777" w:rsidR="00F72C3B" w:rsidRPr="001025FE" w:rsidRDefault="00F72C3B" w:rsidP="00DC41A2">
      <w:pPr>
        <w:pStyle w:val="ListParagraph"/>
        <w:spacing w:before="360" w:after="240"/>
        <w:ind w:left="1843"/>
        <w:rPr>
          <w:rFonts w:cs="Arial"/>
          <w:b/>
          <w:sz w:val="28"/>
        </w:rPr>
      </w:pPr>
    </w:p>
    <w:p w14:paraId="5610E88C" w14:textId="0DB658B6" w:rsidR="00F72C3B" w:rsidRPr="001025FE" w:rsidRDefault="00F72C3B" w:rsidP="005F534F">
      <w:pPr>
        <w:pStyle w:val="ListParagraph"/>
        <w:numPr>
          <w:ilvl w:val="0"/>
          <w:numId w:val="9"/>
        </w:numPr>
        <w:spacing w:before="360" w:after="240"/>
        <w:ind w:left="1843"/>
        <w:rPr>
          <w:rFonts w:cs="Arial"/>
          <w:b/>
          <w:sz w:val="28"/>
        </w:rPr>
      </w:pPr>
      <w:r w:rsidRPr="001025FE">
        <w:rPr>
          <w:rFonts w:cs="Arial"/>
          <w:b/>
          <w:sz w:val="28"/>
        </w:rPr>
        <w:t>All financial decisions shall be consistent with the University’s aims and objectives</w:t>
      </w:r>
    </w:p>
    <w:p w14:paraId="61B63426" w14:textId="77777777" w:rsidR="00F72C3B" w:rsidRPr="001025FE" w:rsidRDefault="00F72C3B" w:rsidP="00DC41A2">
      <w:pPr>
        <w:pStyle w:val="ListParagraph"/>
        <w:spacing w:before="360" w:after="240"/>
        <w:ind w:left="1843"/>
        <w:rPr>
          <w:rFonts w:cs="Arial"/>
          <w:b/>
          <w:sz w:val="28"/>
        </w:rPr>
      </w:pPr>
    </w:p>
    <w:p w14:paraId="25FB8839" w14:textId="77777777" w:rsidR="00F72C3B" w:rsidRPr="001025FE" w:rsidRDefault="00F72C3B" w:rsidP="005F534F">
      <w:pPr>
        <w:pStyle w:val="ListParagraph"/>
        <w:numPr>
          <w:ilvl w:val="0"/>
          <w:numId w:val="9"/>
        </w:numPr>
        <w:spacing w:before="360" w:after="240"/>
        <w:ind w:left="1843"/>
        <w:rPr>
          <w:rFonts w:cs="Arial"/>
          <w:b/>
          <w:sz w:val="28"/>
        </w:rPr>
      </w:pPr>
      <w:r w:rsidRPr="001025FE">
        <w:rPr>
          <w:rFonts w:cs="Arial"/>
          <w:b/>
          <w:sz w:val="28"/>
        </w:rPr>
        <w:t>We shall conduct our financial business with integrity, openness and honesty</w:t>
      </w:r>
    </w:p>
    <w:p w14:paraId="3DA5B432" w14:textId="77777777" w:rsidR="00F72C3B" w:rsidRPr="001025FE" w:rsidRDefault="00F72C3B" w:rsidP="00DC41A2">
      <w:pPr>
        <w:pStyle w:val="ListParagraph"/>
        <w:spacing w:before="360" w:after="240"/>
        <w:ind w:left="1843"/>
        <w:rPr>
          <w:rFonts w:cs="Arial"/>
          <w:b/>
          <w:sz w:val="28"/>
        </w:rPr>
      </w:pPr>
    </w:p>
    <w:p w14:paraId="18FEB291" w14:textId="77777777" w:rsidR="00F72C3B" w:rsidRPr="001025FE" w:rsidRDefault="00F72C3B" w:rsidP="005F534F">
      <w:pPr>
        <w:pStyle w:val="ListParagraph"/>
        <w:numPr>
          <w:ilvl w:val="0"/>
          <w:numId w:val="9"/>
        </w:numPr>
        <w:spacing w:before="360" w:after="240"/>
        <w:ind w:left="1843"/>
        <w:rPr>
          <w:rFonts w:cs="Arial"/>
          <w:b/>
          <w:sz w:val="28"/>
        </w:rPr>
      </w:pPr>
      <w:r w:rsidRPr="001025FE">
        <w:rPr>
          <w:rFonts w:cs="Arial"/>
          <w:b/>
          <w:sz w:val="28"/>
        </w:rPr>
        <w:t>We will protect the University’s financial information, assets and interests</w:t>
      </w:r>
    </w:p>
    <w:p w14:paraId="7E151454" w14:textId="77777777" w:rsidR="00F72C3B" w:rsidRPr="001025FE" w:rsidRDefault="00F72C3B" w:rsidP="00DC41A2">
      <w:pPr>
        <w:pStyle w:val="ListParagraph"/>
        <w:spacing w:before="360" w:after="240"/>
        <w:ind w:left="1843"/>
        <w:rPr>
          <w:rFonts w:cs="Arial"/>
          <w:b/>
          <w:sz w:val="28"/>
        </w:rPr>
      </w:pPr>
    </w:p>
    <w:p w14:paraId="09B9C870" w14:textId="739F7BEE" w:rsidR="00F72C3B" w:rsidRPr="001025FE" w:rsidRDefault="00F72C3B" w:rsidP="005F534F">
      <w:pPr>
        <w:pStyle w:val="ListParagraph"/>
        <w:numPr>
          <w:ilvl w:val="0"/>
          <w:numId w:val="9"/>
        </w:numPr>
        <w:spacing w:before="360" w:after="240"/>
        <w:ind w:left="1843"/>
        <w:rPr>
          <w:rFonts w:cs="Arial"/>
          <w:b/>
          <w:sz w:val="28"/>
        </w:rPr>
      </w:pPr>
      <w:r w:rsidRPr="001025FE">
        <w:rPr>
          <w:rFonts w:cs="Arial"/>
          <w:b/>
          <w:sz w:val="28"/>
        </w:rPr>
        <w:t>We shall strive to obtain value for money</w:t>
      </w:r>
      <w:r w:rsidR="006F727B" w:rsidRPr="001025FE">
        <w:rPr>
          <w:rFonts w:cs="Arial"/>
          <w:b/>
          <w:sz w:val="28"/>
        </w:rPr>
        <w:t xml:space="preserve"> and consider sustainability</w:t>
      </w:r>
      <w:r w:rsidRPr="001025FE">
        <w:rPr>
          <w:rFonts w:cs="Arial"/>
          <w:b/>
          <w:sz w:val="28"/>
        </w:rPr>
        <w:t xml:space="preserve"> in all our dealings </w:t>
      </w:r>
    </w:p>
    <w:p w14:paraId="374B3626" w14:textId="77777777" w:rsidR="00F72C3B" w:rsidRPr="001025FE" w:rsidRDefault="00F72C3B" w:rsidP="00DC41A2">
      <w:pPr>
        <w:pStyle w:val="ListParagraph"/>
        <w:spacing w:before="360" w:after="240"/>
        <w:ind w:left="1843"/>
        <w:rPr>
          <w:rFonts w:cs="Arial"/>
          <w:b/>
          <w:sz w:val="28"/>
        </w:rPr>
      </w:pPr>
    </w:p>
    <w:p w14:paraId="5B6911E4" w14:textId="77777777" w:rsidR="00F72C3B" w:rsidRPr="001025FE" w:rsidRDefault="00F72C3B" w:rsidP="005F534F">
      <w:pPr>
        <w:pStyle w:val="ListParagraph"/>
        <w:numPr>
          <w:ilvl w:val="0"/>
          <w:numId w:val="9"/>
        </w:numPr>
        <w:spacing w:before="360" w:after="240"/>
        <w:ind w:left="1843"/>
        <w:rPr>
          <w:rFonts w:cs="Arial"/>
          <w:b/>
          <w:sz w:val="28"/>
        </w:rPr>
      </w:pPr>
      <w:r w:rsidRPr="001025FE">
        <w:rPr>
          <w:rFonts w:cs="Arial"/>
          <w:b/>
          <w:sz w:val="28"/>
        </w:rPr>
        <w:t>We shall keep accurate financial records</w:t>
      </w:r>
    </w:p>
    <w:p w14:paraId="68E0399B" w14:textId="77777777" w:rsidR="00F72C3B" w:rsidRPr="001025FE" w:rsidRDefault="00F72C3B" w:rsidP="00DC7592">
      <w:pPr>
        <w:pStyle w:val="ListParagraph"/>
        <w:spacing w:before="360" w:after="240"/>
        <w:ind w:left="0"/>
        <w:rPr>
          <w:rFonts w:cs="Arial"/>
          <w:b/>
          <w:sz w:val="28"/>
        </w:rPr>
      </w:pPr>
    </w:p>
    <w:p w14:paraId="7D0EF115" w14:textId="77777777" w:rsidR="00F72C3B" w:rsidRPr="001025FE" w:rsidRDefault="00F72C3B" w:rsidP="00DC7592">
      <w:pPr>
        <w:pStyle w:val="ListParagraph"/>
        <w:spacing w:before="360" w:after="240"/>
        <w:ind w:left="0"/>
        <w:rPr>
          <w:rFonts w:cs="Arial"/>
          <w:b/>
          <w:sz w:val="28"/>
        </w:rPr>
      </w:pPr>
    </w:p>
    <w:p w14:paraId="4143A38C" w14:textId="77777777" w:rsidR="00F72C3B" w:rsidRPr="001025FE" w:rsidRDefault="00F72C3B" w:rsidP="00DC7592">
      <w:pPr>
        <w:spacing w:before="360" w:after="240"/>
        <w:jc w:val="both"/>
        <w:rPr>
          <w:rFonts w:cs="Arial"/>
        </w:rPr>
      </w:pPr>
      <w:r w:rsidRPr="001025FE">
        <w:rPr>
          <w:rFonts w:cs="Arial"/>
        </w:rPr>
        <w:t>The Financial Regulations is a key document that governs the way that the University manages its financial affairs. Apart from certain specific requirements, it is a principles-based document that refers to supporting policies and procedures that provide more detailed guidance.</w:t>
      </w:r>
    </w:p>
    <w:p w14:paraId="5AE60182" w14:textId="77777777" w:rsidR="00F72C3B" w:rsidRPr="001025FE" w:rsidRDefault="00F72C3B" w:rsidP="00DC7592">
      <w:pPr>
        <w:spacing w:before="360" w:after="240"/>
        <w:jc w:val="both"/>
        <w:rPr>
          <w:rFonts w:cs="Arial"/>
        </w:rPr>
      </w:pPr>
      <w:r w:rsidRPr="001025FE">
        <w:rPr>
          <w:rFonts w:cs="Arial"/>
        </w:rPr>
        <w:t>It is impossible for the Financial Regulations and supporting policies and procedures to cover each and every scenario that an individual may encounter. The financial guiding principles set out above provide high-level guidance. If there is no reference to a specific circumstance, then adherence to these principles will ensure that officers and employees are acting in a proper and appropriate manner.</w:t>
      </w:r>
    </w:p>
    <w:p w14:paraId="44D4B54A" w14:textId="77777777" w:rsidR="00F72C3B" w:rsidRPr="001025FE" w:rsidRDefault="00F72C3B" w:rsidP="002D730C">
      <w:pPr>
        <w:pStyle w:val="Heading1"/>
      </w:pPr>
      <w:r w:rsidRPr="001025FE">
        <w:lastRenderedPageBreak/>
        <w:t>General</w:t>
      </w:r>
      <w:bookmarkEnd w:id="3"/>
      <w:bookmarkEnd w:id="4"/>
      <w:bookmarkEnd w:id="5"/>
    </w:p>
    <w:p w14:paraId="2F3BA24A" w14:textId="77777777" w:rsidR="00F72C3B" w:rsidRPr="001025FE" w:rsidRDefault="00F72C3B" w:rsidP="00AD10B9">
      <w:pPr>
        <w:pStyle w:val="Heading2"/>
        <w:numPr>
          <w:ilvl w:val="0"/>
          <w:numId w:val="0"/>
        </w:numPr>
      </w:pPr>
      <w:bookmarkStart w:id="6" w:name="_Introduction"/>
      <w:bookmarkStart w:id="7" w:name="_Toc379892882"/>
      <w:bookmarkStart w:id="8" w:name="_Toc379892990"/>
      <w:bookmarkEnd w:id="6"/>
    </w:p>
    <w:p w14:paraId="1DCDB286" w14:textId="77777777" w:rsidR="00F72C3B" w:rsidRPr="001025FE" w:rsidRDefault="00F72C3B" w:rsidP="00246AC6">
      <w:pPr>
        <w:pStyle w:val="Heading2"/>
      </w:pPr>
      <w:r w:rsidRPr="001025FE">
        <w:t>Introduction</w:t>
      </w:r>
      <w:bookmarkEnd w:id="7"/>
      <w:bookmarkEnd w:id="8"/>
    </w:p>
    <w:p w14:paraId="774676A6" w14:textId="77777777" w:rsidR="00F72C3B" w:rsidRPr="001025FE" w:rsidRDefault="00F72C3B" w:rsidP="00CC05FE">
      <w:pPr>
        <w:pStyle w:val="Heading3"/>
      </w:pPr>
      <w:bookmarkStart w:id="9" w:name="_Background"/>
      <w:bookmarkEnd w:id="9"/>
      <w:r w:rsidRPr="001025FE">
        <w:t>The University is a higher education corporation created under the provisions of the Education Reform Act 1988, as amended by the Further and Higher Education Act 1992. Its structure of governance is laid down in the Instrument and Articles of Government. The Instrument of Government can only be amended by legislation and the Articles of Government by the Privy Council. The University is accountable through its Board of Governors, which has ultimate responsibility for overseeing its activities and securing its solvency.</w:t>
      </w:r>
    </w:p>
    <w:p w14:paraId="6542B271" w14:textId="77777777" w:rsidR="00F72C3B" w:rsidRPr="001025FE" w:rsidRDefault="00F72C3B" w:rsidP="00AD10B9">
      <w:pPr>
        <w:pStyle w:val="Heading3"/>
      </w:pPr>
      <w:r w:rsidRPr="001025FE">
        <w:t>The University of Lincoln is an exempt charity with the charitable objects of providing higher education and further education, and of carrying out research and publishing the results. The members of the Board of Governors, who include the Vice Chancellor and staff and student members, are the trustees of the charity.</w:t>
      </w:r>
    </w:p>
    <w:p w14:paraId="4AC487DF" w14:textId="77777777" w:rsidR="00F72C3B" w:rsidRPr="001025FE" w:rsidRDefault="00F72C3B" w:rsidP="0030337D">
      <w:pPr>
        <w:pStyle w:val="Heading3"/>
      </w:pPr>
      <w:r w:rsidRPr="001025FE">
        <w:t xml:space="preserve">Since 1 June 2010, the University has been regulated by the Higher Education Funding Council for England (HEFCE) as the principal regulator of English Higher Education Institutions. The University also receives grant funding from HEFCE. The Financial Memorandum between HEFCE and the University sets out the terms and conditions on which grant is made. The Board of Governors is responsible for ensuring that conditions of grant are met. As part of this process the University must adhere to the HEFCE Code of Practice on Accountability and Audit, which requires the University to have sound systems of financial and management control. </w:t>
      </w:r>
    </w:p>
    <w:p w14:paraId="709D4249" w14:textId="77777777" w:rsidR="00F72C3B" w:rsidRDefault="00F72C3B" w:rsidP="005154DC">
      <w:pPr>
        <w:pStyle w:val="Heading3"/>
      </w:pPr>
      <w:r w:rsidRPr="001025FE">
        <w:t>The Board of Governors is responsible for the effective and efficient use of resources, the solvency of the University and the Corporation and for the safeguarding of assets. The Financial Regulations of the University form part of the overall system of accountability and financial management and control in support of these responsibilities.</w:t>
      </w:r>
    </w:p>
    <w:p w14:paraId="5B5046D4" w14:textId="77777777" w:rsidR="00260407" w:rsidRPr="00260407" w:rsidRDefault="00260407" w:rsidP="00260407"/>
    <w:p w14:paraId="5C04E746" w14:textId="77777777" w:rsidR="00F72C3B" w:rsidRPr="001025FE" w:rsidRDefault="00F72C3B" w:rsidP="006E59F0"/>
    <w:p w14:paraId="432952E7" w14:textId="77777777" w:rsidR="00F72C3B" w:rsidRPr="001025FE" w:rsidRDefault="00F72C3B" w:rsidP="006E59F0">
      <w:pPr>
        <w:pStyle w:val="Heading2"/>
      </w:pPr>
      <w:bookmarkStart w:id="10" w:name="_Toc379892884"/>
      <w:bookmarkStart w:id="11" w:name="_Toc379892992"/>
      <w:r w:rsidRPr="001025FE">
        <w:t>Status of the Financial Regulations</w:t>
      </w:r>
      <w:bookmarkEnd w:id="10"/>
      <w:bookmarkEnd w:id="11"/>
    </w:p>
    <w:p w14:paraId="235E4608" w14:textId="77777777" w:rsidR="00F72C3B" w:rsidRPr="001025FE" w:rsidRDefault="00F72C3B" w:rsidP="005F534F">
      <w:pPr>
        <w:pStyle w:val="Heading3"/>
      </w:pPr>
      <w:r w:rsidRPr="001025FE">
        <w:t xml:space="preserve">These Financial Regulations have been approved by the Board of Governors and are mandatory. Officers and employees are required to apply and abide by these regulations to ensure that the University operates with integrity and in accordance with the HEFCE Financial Memorandum. </w:t>
      </w:r>
    </w:p>
    <w:p w14:paraId="72B159C6" w14:textId="77777777" w:rsidR="00F72C3B" w:rsidRPr="001025FE" w:rsidRDefault="00F72C3B" w:rsidP="006E59F0">
      <w:pPr>
        <w:pStyle w:val="Heading3"/>
      </w:pPr>
      <w:r w:rsidRPr="001025FE">
        <w:t>The Financial Regulations are subordinate to the University’s Articles of Government. They are also subordinate to any restrictions contained within the University’s Financial Memorandum with HEFCE and the HEFCE Code of Practice on Accountability and Audit.</w:t>
      </w:r>
    </w:p>
    <w:p w14:paraId="18CDFBF7" w14:textId="77777777" w:rsidR="00F72C3B" w:rsidRPr="001025FE" w:rsidRDefault="00F72C3B" w:rsidP="006E59F0">
      <w:pPr>
        <w:pStyle w:val="Heading3"/>
        <w:rPr>
          <w:rFonts w:cs="Arial"/>
        </w:rPr>
      </w:pPr>
      <w:r w:rsidRPr="001025FE">
        <w:rPr>
          <w:rFonts w:cs="Arial"/>
        </w:rPr>
        <w:t xml:space="preserve">The Financial Regulations apply to the University and all subsidiary undertakings. In these Financial Regulations, where relevant, the term ‘University’ includes </w:t>
      </w:r>
      <w:r w:rsidRPr="001025FE">
        <w:t>the University and all subsidiary companies under the control of the University.</w:t>
      </w:r>
    </w:p>
    <w:p w14:paraId="3147F019" w14:textId="77777777" w:rsidR="00F72C3B" w:rsidRPr="001025FE" w:rsidRDefault="00F72C3B" w:rsidP="00AD10B9">
      <w:pPr>
        <w:pStyle w:val="Heading3"/>
      </w:pPr>
      <w:r w:rsidRPr="001025FE">
        <w:t xml:space="preserve">The Chief Finance Officer will review the regulations annually and propose any amendments to the Board of Governors, via Audit Committee. </w:t>
      </w:r>
    </w:p>
    <w:p w14:paraId="2FD2BFDB" w14:textId="77777777" w:rsidR="00F72C3B" w:rsidRPr="001025FE" w:rsidRDefault="00F72C3B" w:rsidP="00AD10B9"/>
    <w:p w14:paraId="4317070E" w14:textId="77777777" w:rsidR="00F72C3B" w:rsidRPr="001025FE" w:rsidRDefault="00F72C3B" w:rsidP="00776F8A"/>
    <w:p w14:paraId="65767D66" w14:textId="77777777" w:rsidR="00F72C3B" w:rsidRPr="001025FE" w:rsidRDefault="00F72C3B" w:rsidP="006E59F0">
      <w:bookmarkStart w:id="12" w:name="_Status_of_the"/>
      <w:bookmarkEnd w:id="12"/>
    </w:p>
    <w:p w14:paraId="0DB59FAE" w14:textId="77777777" w:rsidR="00F72C3B" w:rsidRPr="001025FE" w:rsidRDefault="00F72C3B" w:rsidP="00375C53">
      <w:pPr>
        <w:pStyle w:val="Heading2"/>
      </w:pPr>
      <w:bookmarkStart w:id="13" w:name="_Toc379892885"/>
      <w:bookmarkStart w:id="14" w:name="_Toc379892993"/>
      <w:r w:rsidRPr="001025FE">
        <w:t>Responsibility for Compliance</w:t>
      </w:r>
      <w:bookmarkEnd w:id="13"/>
      <w:bookmarkEnd w:id="14"/>
    </w:p>
    <w:p w14:paraId="0BBB7FBA" w14:textId="77777777" w:rsidR="00F72C3B" w:rsidRPr="001025FE" w:rsidRDefault="00F72C3B" w:rsidP="00375C53">
      <w:pPr>
        <w:pStyle w:val="Heading3"/>
      </w:pPr>
      <w:r w:rsidRPr="001025FE">
        <w:t xml:space="preserve">Compliance with the Financial Regulations is compulsory for all officers and employees of the University. </w:t>
      </w:r>
    </w:p>
    <w:p w14:paraId="331FA7D0" w14:textId="77777777" w:rsidR="00F72C3B" w:rsidRPr="001025FE" w:rsidRDefault="00F72C3B" w:rsidP="004F768E">
      <w:pPr>
        <w:pStyle w:val="Heading3"/>
      </w:pPr>
      <w:r w:rsidRPr="001025FE">
        <w:t>Officers and employees include all University staff members on a permanent or fixed term employment contract.</w:t>
      </w:r>
    </w:p>
    <w:p w14:paraId="6075949A" w14:textId="77777777" w:rsidR="00F72C3B" w:rsidRPr="001025FE" w:rsidRDefault="00F72C3B" w:rsidP="004F768E">
      <w:pPr>
        <w:pStyle w:val="Heading3"/>
      </w:pPr>
      <w:r w:rsidRPr="001025FE">
        <w:t xml:space="preserve">It is the responsibility of all officers and employees to read and understand the Financial Regulations and underpinning policies and procedures. </w:t>
      </w:r>
    </w:p>
    <w:p w14:paraId="19D2C113" w14:textId="77777777" w:rsidR="00F72C3B" w:rsidRPr="001025FE" w:rsidRDefault="00F72C3B" w:rsidP="00073C15">
      <w:pPr>
        <w:pStyle w:val="Heading3"/>
      </w:pPr>
      <w:r w:rsidRPr="001025FE">
        <w:t xml:space="preserve">Any officer or employee who fails to comply with the Financial Regulations may be subject to disciplinary action under the University Disciplinary Policy and Procedure.  </w:t>
      </w:r>
    </w:p>
    <w:p w14:paraId="4545A34F" w14:textId="77777777" w:rsidR="00F72C3B" w:rsidRPr="001025FE" w:rsidRDefault="00F72C3B" w:rsidP="004F768E">
      <w:pPr>
        <w:pStyle w:val="Heading3"/>
      </w:pPr>
      <w:r w:rsidRPr="001025FE">
        <w:t xml:space="preserve">The Financial Regulations also apply to all temporary employees and contractors working at, or on behalf of, the University who carry out activities that fall within the scope of the Financial Regulations. It is the responsibility of all Head of Colleges and Heads of Professional Service to ensure that any temporary employee or contractor operating under their responsibility reads and adheres to the Financial Regulations where relevant and applicable to the services they are providing. </w:t>
      </w:r>
    </w:p>
    <w:p w14:paraId="1B96EA63" w14:textId="77777777" w:rsidR="00F72C3B" w:rsidRPr="001025FE" w:rsidRDefault="00F72C3B" w:rsidP="00776F8A">
      <w:pPr>
        <w:pStyle w:val="Heading3"/>
      </w:pPr>
      <w:r w:rsidRPr="001025FE">
        <w:t>In exceptional circumstances, the Chief Finance Officer may authorise a temporary departure from the detailed provisions within the Financial Regulations to a limit of £25,000. The form in Appendix B should be completed when requesting a temporary waiver of the regulations. Any authorised departures shall be reported to the Chair of Audit Committee.</w:t>
      </w:r>
    </w:p>
    <w:p w14:paraId="07AAA5E5" w14:textId="77777777" w:rsidR="00F72C3B" w:rsidRPr="001025FE" w:rsidRDefault="00F72C3B" w:rsidP="00776F8A">
      <w:pPr>
        <w:pStyle w:val="Heading3"/>
      </w:pPr>
      <w:r w:rsidRPr="001025FE">
        <w:t xml:space="preserve">Any departure from the Financial Regulations involving an amount greater than £25,000 requires prior approval of the Chair of the Board of Governors (or, if absent, the Deputy Chair) and shall be reported to Audit Committee. </w:t>
      </w:r>
    </w:p>
    <w:p w14:paraId="38AAF212" w14:textId="77777777" w:rsidR="00F72C3B" w:rsidRPr="001025FE" w:rsidRDefault="00F72C3B" w:rsidP="00776F8A"/>
    <w:p w14:paraId="11157901" w14:textId="77777777" w:rsidR="00F72C3B" w:rsidRPr="001025FE" w:rsidRDefault="00F72C3B" w:rsidP="002A58B2">
      <w:pPr>
        <w:pStyle w:val="Heading2"/>
      </w:pPr>
      <w:bookmarkStart w:id="15" w:name="_Statement_of_Financial"/>
      <w:bookmarkStart w:id="16" w:name="_Toc379892887"/>
      <w:bookmarkStart w:id="17" w:name="_Toc379892995"/>
      <w:bookmarkEnd w:id="15"/>
      <w:r w:rsidRPr="001025FE">
        <w:t>Scheme of Delegated Financial</w:t>
      </w:r>
      <w:bookmarkEnd w:id="16"/>
      <w:bookmarkEnd w:id="17"/>
      <w:r w:rsidRPr="001025FE">
        <w:t xml:space="preserve"> Authorities</w:t>
      </w:r>
    </w:p>
    <w:p w14:paraId="7FCFD461" w14:textId="77777777" w:rsidR="00F72C3B" w:rsidRPr="001025FE" w:rsidRDefault="00F72C3B" w:rsidP="007B2B9F">
      <w:pPr>
        <w:pStyle w:val="Heading3"/>
      </w:pPr>
      <w:r w:rsidRPr="001025FE">
        <w:t>The purpose of the Scheme of Delegated Financial Authorities is to provide clarity as to who is authorised to conduct financial transactions on behalf of the University. The scheme is to ensure efficient day-to-day working whilst minimising the risk of fraud, error and inappropriate commercial transactions.</w:t>
      </w:r>
    </w:p>
    <w:p w14:paraId="63139635" w14:textId="77777777" w:rsidR="00F72C3B" w:rsidRPr="001025FE" w:rsidRDefault="00F72C3B" w:rsidP="00875C8D">
      <w:pPr>
        <w:pStyle w:val="Heading3"/>
      </w:pPr>
      <w:r w:rsidRPr="001025FE">
        <w:t>The Scheme of Delegated Financial Authorities is set out in detail in Appendix A.</w:t>
      </w:r>
    </w:p>
    <w:p w14:paraId="01764A98" w14:textId="77777777" w:rsidR="00F72C3B" w:rsidRPr="001025FE" w:rsidRDefault="00F72C3B" w:rsidP="00496A46">
      <w:pPr>
        <w:pStyle w:val="Heading3"/>
      </w:pPr>
      <w:r w:rsidRPr="001025FE">
        <w:t>Within the Scheme of Delegated Authorities, and as applicable throughout these Financial Regulations, the term ‘Budget Holders’</w:t>
      </w:r>
      <w:r w:rsidRPr="001025FE">
        <w:rPr>
          <w:b/>
        </w:rPr>
        <w:t xml:space="preserve"> </w:t>
      </w:r>
      <w:r w:rsidRPr="001025FE">
        <w:t>includes all officers and employees with direct budget responsibility, along with those who have been delegated authority to control budgets.</w:t>
      </w:r>
    </w:p>
    <w:p w14:paraId="32186CCE" w14:textId="77777777" w:rsidR="00F72C3B" w:rsidRPr="001025FE" w:rsidRDefault="00F72C3B" w:rsidP="00496A46">
      <w:pPr>
        <w:pStyle w:val="Heading3"/>
      </w:pPr>
      <w:r w:rsidRPr="001025FE">
        <w:t>The following principles underpin all decisions taken within the Scheme:</w:t>
      </w:r>
    </w:p>
    <w:p w14:paraId="6E12EE88" w14:textId="77777777" w:rsidR="00F72C3B" w:rsidRPr="001025FE" w:rsidRDefault="00F72C3B" w:rsidP="005F534F">
      <w:pPr>
        <w:pStyle w:val="ListParagraph"/>
        <w:numPr>
          <w:ilvl w:val="0"/>
          <w:numId w:val="7"/>
        </w:numPr>
        <w:spacing w:after="0"/>
        <w:ind w:left="1440" w:hanging="731"/>
        <w:rPr>
          <w:rFonts w:cs="Arial"/>
        </w:rPr>
      </w:pPr>
      <w:r w:rsidRPr="001025FE">
        <w:rPr>
          <w:rFonts w:cs="Arial"/>
        </w:rPr>
        <w:t>The person to whom the authority has been delegated should only make decisions within their own area of responsibility. That is, one Budget Holder should not take a decision that commits another Budget Holder without their consent.</w:t>
      </w:r>
    </w:p>
    <w:p w14:paraId="6755B8A0" w14:textId="77777777" w:rsidR="00F72C3B" w:rsidRPr="001025FE" w:rsidRDefault="00F72C3B" w:rsidP="005F534F">
      <w:pPr>
        <w:pStyle w:val="ListParagraph"/>
        <w:numPr>
          <w:ilvl w:val="0"/>
          <w:numId w:val="7"/>
        </w:numPr>
        <w:spacing w:after="0"/>
        <w:ind w:hanging="11"/>
        <w:rPr>
          <w:rFonts w:cs="Arial"/>
        </w:rPr>
      </w:pPr>
      <w:r w:rsidRPr="001025FE">
        <w:rPr>
          <w:rFonts w:cs="Arial"/>
        </w:rPr>
        <w:t>Where sub-delegation takes place this may only be delegated down one tier (as set out in Appendix A).</w:t>
      </w:r>
    </w:p>
    <w:p w14:paraId="5E98B2DB" w14:textId="77777777" w:rsidR="00F72C3B" w:rsidRPr="001025FE" w:rsidRDefault="00F72C3B" w:rsidP="005F534F">
      <w:pPr>
        <w:pStyle w:val="ListParagraph"/>
        <w:numPr>
          <w:ilvl w:val="0"/>
          <w:numId w:val="7"/>
        </w:numPr>
        <w:spacing w:after="0"/>
        <w:ind w:left="1440" w:hanging="731"/>
        <w:rPr>
          <w:rFonts w:cs="Arial"/>
        </w:rPr>
      </w:pPr>
      <w:r w:rsidRPr="001025FE">
        <w:rPr>
          <w:rFonts w:cs="Arial"/>
        </w:rPr>
        <w:lastRenderedPageBreak/>
        <w:t>Financial decisions should only be taken when the relevant University Policies and Procedures have been followed.</w:t>
      </w:r>
    </w:p>
    <w:p w14:paraId="23126882" w14:textId="77777777" w:rsidR="00F72C3B" w:rsidRPr="001025FE" w:rsidRDefault="00F72C3B" w:rsidP="005F534F">
      <w:pPr>
        <w:pStyle w:val="ListParagraph"/>
        <w:numPr>
          <w:ilvl w:val="0"/>
          <w:numId w:val="7"/>
        </w:numPr>
        <w:spacing w:after="0"/>
        <w:ind w:left="1440" w:hanging="731"/>
        <w:rPr>
          <w:rFonts w:cs="Arial"/>
        </w:rPr>
      </w:pPr>
      <w:r w:rsidRPr="001025FE">
        <w:rPr>
          <w:rFonts w:cs="Arial"/>
        </w:rPr>
        <w:t>Where a third party has provided funding, decisions should only be taken when the relevant funding body’s regulations have been followed.</w:t>
      </w:r>
    </w:p>
    <w:p w14:paraId="143FFAC0" w14:textId="77777777" w:rsidR="00F72C3B" w:rsidRPr="001025FE" w:rsidRDefault="00F72C3B" w:rsidP="005F534F">
      <w:pPr>
        <w:pStyle w:val="ListParagraph"/>
        <w:numPr>
          <w:ilvl w:val="0"/>
          <w:numId w:val="7"/>
        </w:numPr>
        <w:spacing w:after="0"/>
        <w:ind w:hanging="11"/>
        <w:rPr>
          <w:rFonts w:cs="Arial"/>
        </w:rPr>
      </w:pPr>
      <w:r w:rsidRPr="001025FE">
        <w:rPr>
          <w:rFonts w:cs="Arial"/>
        </w:rPr>
        <w:t>Approval documentation must always be maintained.</w:t>
      </w:r>
    </w:p>
    <w:p w14:paraId="75836213" w14:textId="77777777" w:rsidR="00F72C3B" w:rsidRPr="001025FE" w:rsidRDefault="00F72C3B" w:rsidP="00BF3A96">
      <w:pPr>
        <w:spacing w:after="0"/>
        <w:rPr>
          <w:rFonts w:cs="Arial"/>
          <w:sz w:val="24"/>
        </w:rPr>
      </w:pPr>
    </w:p>
    <w:p w14:paraId="4C567A4C" w14:textId="77777777" w:rsidR="00F72C3B" w:rsidRPr="001025FE" w:rsidRDefault="00F72C3B" w:rsidP="006A1735">
      <w:pPr>
        <w:pStyle w:val="Heading3"/>
      </w:pPr>
      <w:r w:rsidRPr="001025FE">
        <w:t>The following financial decisions can never be delegated and always vest with the Board of Governors:</w:t>
      </w:r>
    </w:p>
    <w:p w14:paraId="2C9E9824" w14:textId="77777777" w:rsidR="00F72C3B" w:rsidRPr="001025FE" w:rsidRDefault="00F72C3B" w:rsidP="005F534F">
      <w:pPr>
        <w:pStyle w:val="ListParagraph"/>
        <w:numPr>
          <w:ilvl w:val="0"/>
          <w:numId w:val="7"/>
        </w:numPr>
        <w:spacing w:after="0"/>
        <w:ind w:hanging="11"/>
        <w:rPr>
          <w:rFonts w:cs="Arial"/>
        </w:rPr>
      </w:pPr>
      <w:r w:rsidRPr="001025FE">
        <w:rPr>
          <w:rFonts w:cs="Arial"/>
        </w:rPr>
        <w:t>To approve the University budget and five year plans</w:t>
      </w:r>
    </w:p>
    <w:p w14:paraId="5B3F7172" w14:textId="77777777" w:rsidR="00F72C3B" w:rsidRPr="001025FE" w:rsidRDefault="00F72C3B" w:rsidP="005F534F">
      <w:pPr>
        <w:pStyle w:val="ListParagraph"/>
        <w:numPr>
          <w:ilvl w:val="0"/>
          <w:numId w:val="7"/>
        </w:numPr>
        <w:spacing w:after="0"/>
        <w:ind w:hanging="11"/>
        <w:rPr>
          <w:rFonts w:cs="Arial"/>
        </w:rPr>
      </w:pPr>
      <w:r w:rsidRPr="001025FE">
        <w:rPr>
          <w:rFonts w:cs="Arial"/>
        </w:rPr>
        <w:t>To approve the annual Financial Statements</w:t>
      </w:r>
    </w:p>
    <w:p w14:paraId="2BF0107C" w14:textId="77777777" w:rsidR="00F72C3B" w:rsidRPr="001025FE" w:rsidRDefault="00F72C3B" w:rsidP="005F534F">
      <w:pPr>
        <w:pStyle w:val="ListParagraph"/>
        <w:numPr>
          <w:ilvl w:val="0"/>
          <w:numId w:val="7"/>
        </w:numPr>
        <w:spacing w:after="0"/>
        <w:ind w:hanging="11"/>
        <w:rPr>
          <w:rFonts w:cs="Arial"/>
        </w:rPr>
      </w:pPr>
      <w:r w:rsidRPr="001025FE">
        <w:rPr>
          <w:rFonts w:cs="Arial"/>
        </w:rPr>
        <w:t>To appoint the University bankers</w:t>
      </w:r>
    </w:p>
    <w:p w14:paraId="33B5385E" w14:textId="77777777" w:rsidR="00F72C3B" w:rsidRPr="001025FE" w:rsidRDefault="00F72C3B" w:rsidP="005F534F">
      <w:pPr>
        <w:pStyle w:val="ListParagraph"/>
        <w:numPr>
          <w:ilvl w:val="0"/>
          <w:numId w:val="7"/>
        </w:numPr>
        <w:spacing w:after="0"/>
        <w:ind w:hanging="11"/>
        <w:rPr>
          <w:rFonts w:cs="Arial"/>
        </w:rPr>
      </w:pPr>
      <w:r w:rsidRPr="001025FE">
        <w:rPr>
          <w:rFonts w:cs="Arial"/>
        </w:rPr>
        <w:t>To appoint the internal and external auditors</w:t>
      </w:r>
    </w:p>
    <w:p w14:paraId="4A404763" w14:textId="77777777" w:rsidR="00F72C3B" w:rsidRPr="001025FE" w:rsidRDefault="00F72C3B" w:rsidP="005F534F">
      <w:pPr>
        <w:pStyle w:val="ListParagraph"/>
        <w:numPr>
          <w:ilvl w:val="0"/>
          <w:numId w:val="7"/>
        </w:numPr>
        <w:spacing w:after="0"/>
        <w:ind w:hanging="11"/>
        <w:rPr>
          <w:rFonts w:cs="Arial"/>
        </w:rPr>
      </w:pPr>
      <w:r w:rsidRPr="001025FE">
        <w:rPr>
          <w:rFonts w:cs="Arial"/>
        </w:rPr>
        <w:t>To approve the Treasury Management Policy</w:t>
      </w:r>
    </w:p>
    <w:p w14:paraId="1EFF879E" w14:textId="77777777" w:rsidR="00F72C3B" w:rsidRPr="001025FE" w:rsidRDefault="00F72C3B" w:rsidP="00BF3A96">
      <w:pPr>
        <w:spacing w:after="0"/>
        <w:rPr>
          <w:rFonts w:cs="Arial"/>
          <w:szCs w:val="22"/>
        </w:rPr>
      </w:pPr>
    </w:p>
    <w:p w14:paraId="4C028C65" w14:textId="77777777" w:rsidR="00F72C3B" w:rsidRPr="001025FE" w:rsidRDefault="00F72C3B" w:rsidP="00BF3A96">
      <w:pPr>
        <w:spacing w:after="0"/>
        <w:ind w:left="720"/>
        <w:rPr>
          <w:rFonts w:cs="Arial"/>
          <w:szCs w:val="22"/>
        </w:rPr>
      </w:pPr>
    </w:p>
    <w:p w14:paraId="18D0C9EC" w14:textId="77777777" w:rsidR="00F72C3B" w:rsidRPr="001025FE" w:rsidRDefault="00F72C3B" w:rsidP="00BF3A96">
      <w:pPr>
        <w:spacing w:after="0"/>
        <w:ind w:left="720"/>
        <w:rPr>
          <w:rFonts w:cs="Arial"/>
          <w:szCs w:val="22"/>
        </w:rPr>
      </w:pPr>
    </w:p>
    <w:p w14:paraId="1CDF244D" w14:textId="77777777" w:rsidR="00F72C3B" w:rsidRPr="001025FE" w:rsidRDefault="00F72C3B" w:rsidP="00246AC6">
      <w:pPr>
        <w:pStyle w:val="Heading1"/>
      </w:pPr>
      <w:bookmarkStart w:id="18" w:name="_Toc378680934"/>
      <w:bookmarkStart w:id="19" w:name="_Toc379892888"/>
      <w:bookmarkStart w:id="20" w:name="_Toc379892996"/>
      <w:r w:rsidRPr="001025FE">
        <w:t>Corporate Governance</w:t>
      </w:r>
      <w:bookmarkEnd w:id="18"/>
      <w:bookmarkEnd w:id="19"/>
      <w:bookmarkEnd w:id="20"/>
    </w:p>
    <w:p w14:paraId="37804EFA" w14:textId="77777777" w:rsidR="00F72C3B" w:rsidRPr="001025FE" w:rsidRDefault="00F72C3B" w:rsidP="00152C32">
      <w:pPr>
        <w:pStyle w:val="Heading2"/>
        <w:numPr>
          <w:ilvl w:val="0"/>
          <w:numId w:val="0"/>
        </w:numPr>
      </w:pPr>
      <w:bookmarkStart w:id="21" w:name="_Toc378680935"/>
      <w:bookmarkStart w:id="22" w:name="_Toc379892889"/>
      <w:bookmarkStart w:id="23" w:name="_Toc379892997"/>
    </w:p>
    <w:p w14:paraId="50629EB7" w14:textId="77777777" w:rsidR="00F72C3B" w:rsidRPr="001025FE" w:rsidRDefault="00F72C3B" w:rsidP="00246AC6">
      <w:pPr>
        <w:pStyle w:val="Heading2"/>
      </w:pPr>
      <w:r w:rsidRPr="001025FE">
        <w:t>Responsibilities</w:t>
      </w:r>
      <w:bookmarkEnd w:id="21"/>
      <w:bookmarkEnd w:id="22"/>
      <w:bookmarkEnd w:id="23"/>
    </w:p>
    <w:p w14:paraId="726FC0C6" w14:textId="77777777" w:rsidR="00F72C3B" w:rsidRPr="001025FE" w:rsidRDefault="00F72C3B" w:rsidP="0046576B">
      <w:pPr>
        <w:pStyle w:val="Heading3"/>
      </w:pPr>
      <w:r w:rsidRPr="001025FE">
        <w:t xml:space="preserve">The Board of Governors has designated the Vice Chancellor to be the accountable officer responsible for the implementation of the University’s strategic objectives. </w:t>
      </w:r>
    </w:p>
    <w:p w14:paraId="44435428" w14:textId="77777777" w:rsidR="00F72C3B" w:rsidRPr="001025FE" w:rsidRDefault="00F72C3B" w:rsidP="0046576B">
      <w:pPr>
        <w:pStyle w:val="Heading3"/>
      </w:pPr>
      <w:r w:rsidRPr="001025FE">
        <w:t xml:space="preserve">The Chief Finance Officer is responsible to the Board of Governors, through the Vice Chancellor, for the financial management of the University. </w:t>
      </w:r>
    </w:p>
    <w:p w14:paraId="66004F7B" w14:textId="77777777" w:rsidR="00F72C3B" w:rsidRPr="001025FE" w:rsidRDefault="00F72C3B" w:rsidP="00152C32">
      <w:pPr>
        <w:pStyle w:val="Heading2"/>
        <w:numPr>
          <w:ilvl w:val="0"/>
          <w:numId w:val="0"/>
        </w:numPr>
      </w:pPr>
      <w:bookmarkStart w:id="24" w:name="_Toc378680936"/>
      <w:bookmarkStart w:id="25" w:name="_Toc379892890"/>
      <w:bookmarkStart w:id="26" w:name="_Toc379892998"/>
    </w:p>
    <w:p w14:paraId="34F6106E" w14:textId="77777777" w:rsidR="00F72C3B" w:rsidRPr="001025FE" w:rsidRDefault="00F72C3B" w:rsidP="00246AC6">
      <w:pPr>
        <w:pStyle w:val="Heading2"/>
      </w:pPr>
      <w:r w:rsidRPr="001025FE">
        <w:t>Risk Management</w:t>
      </w:r>
      <w:bookmarkEnd w:id="24"/>
      <w:bookmarkEnd w:id="25"/>
      <w:bookmarkEnd w:id="26"/>
    </w:p>
    <w:p w14:paraId="5EE11145" w14:textId="77777777" w:rsidR="00F72C3B" w:rsidRPr="001025FE" w:rsidRDefault="00F72C3B" w:rsidP="0046576B">
      <w:pPr>
        <w:pStyle w:val="Heading3"/>
      </w:pPr>
      <w:r w:rsidRPr="001025FE">
        <w:t>The University acknowledges the risks inherent in its business, and is committed to managing those risks that pose a significant threat to the achievement of its business objectives and financial health.</w:t>
      </w:r>
    </w:p>
    <w:p w14:paraId="7B605E94" w14:textId="01F2025B" w:rsidR="00F72C3B" w:rsidRPr="001025FE" w:rsidRDefault="00F72C3B" w:rsidP="0046576B">
      <w:pPr>
        <w:pStyle w:val="Heading3"/>
      </w:pPr>
      <w:r w:rsidRPr="001025FE">
        <w:t xml:space="preserve">The adoption and oversight of the University’s Risk Management Policy is the responsibility of Board of Governors. The Vice-Chancellor and the </w:t>
      </w:r>
      <w:r w:rsidR="003F7586">
        <w:t>Senior Leadership Team</w:t>
      </w:r>
      <w:r w:rsidRPr="001025FE">
        <w:t xml:space="preserve"> are responsible for the implementation of the policy, which is managed by the Director of Planning &amp; Business Intelligence. In addition the Audit Committee provides oversight of risk management, providing a formalised reporting and appraisal mechanism. </w:t>
      </w:r>
    </w:p>
    <w:p w14:paraId="3B193DCA" w14:textId="77777777" w:rsidR="00F72C3B" w:rsidRPr="001025FE" w:rsidRDefault="00F72C3B" w:rsidP="00152C32">
      <w:pPr>
        <w:pStyle w:val="Heading2"/>
        <w:numPr>
          <w:ilvl w:val="0"/>
          <w:numId w:val="0"/>
        </w:numPr>
      </w:pPr>
      <w:bookmarkStart w:id="27" w:name="_Toc379892892"/>
      <w:bookmarkStart w:id="28" w:name="_Toc379893000"/>
    </w:p>
    <w:p w14:paraId="5264491F" w14:textId="77777777" w:rsidR="00F72C3B" w:rsidRPr="001025FE" w:rsidRDefault="00F72C3B" w:rsidP="00246AC6">
      <w:pPr>
        <w:pStyle w:val="Heading2"/>
      </w:pPr>
      <w:r w:rsidRPr="001025FE">
        <w:t>Audit</w:t>
      </w:r>
      <w:bookmarkEnd w:id="27"/>
      <w:bookmarkEnd w:id="28"/>
    </w:p>
    <w:p w14:paraId="6C5602D3" w14:textId="77777777" w:rsidR="00F72C3B" w:rsidRPr="001025FE" w:rsidRDefault="00F72C3B" w:rsidP="00891865">
      <w:pPr>
        <w:pStyle w:val="Heading3"/>
      </w:pPr>
      <w:r w:rsidRPr="001025FE">
        <w:t xml:space="preserve">All accounting and supporting records are subject to annual audit by the External Auditors. The External Auditors have a right of access at all reasonable times to the books and accounts and vouchers of the university and are entitled to require from the officers of the University such information and explanations as may be necessary for the performance of their duties. </w:t>
      </w:r>
    </w:p>
    <w:p w14:paraId="3AB74D51" w14:textId="77777777" w:rsidR="00F72C3B" w:rsidRPr="001025FE" w:rsidRDefault="00F72C3B" w:rsidP="00891865">
      <w:pPr>
        <w:pStyle w:val="Heading3"/>
      </w:pPr>
      <w:r w:rsidRPr="001025FE">
        <w:t xml:space="preserve">The University appoints Internal Auditors in accordance with the Financial Memorandum between the University and the HEFCE. This function provides an independent appraisal for the University across all systems and procedures. </w:t>
      </w:r>
    </w:p>
    <w:p w14:paraId="251DEF39" w14:textId="77777777" w:rsidR="00F72C3B" w:rsidRPr="001025FE" w:rsidRDefault="00F72C3B" w:rsidP="00891865">
      <w:pPr>
        <w:pStyle w:val="Heading3"/>
      </w:pPr>
      <w:r w:rsidRPr="001025FE">
        <w:t xml:space="preserve">The Internal Auditors will have a right of access at all times to all University records, information and assets which they consider necessary to fulfil their responsibilities. They are entitled to require from any officer or employee of the University such information and explanations as may be necessary for the performance of their duties. </w:t>
      </w:r>
    </w:p>
    <w:p w14:paraId="086F2C89" w14:textId="77777777" w:rsidR="00F72C3B" w:rsidRPr="001025FE" w:rsidRDefault="00F72C3B" w:rsidP="00891865">
      <w:pPr>
        <w:pStyle w:val="Heading3"/>
      </w:pPr>
      <w:r w:rsidRPr="001025FE">
        <w:t xml:space="preserve">The Internal and External Auditors shall be appointed by the Board of Governors on recommendation of the Audit Committee. </w:t>
      </w:r>
    </w:p>
    <w:p w14:paraId="2C0C3A8B" w14:textId="77777777" w:rsidR="00F72C3B" w:rsidRPr="001025FE" w:rsidRDefault="00F72C3B" w:rsidP="00152C32">
      <w:pPr>
        <w:pStyle w:val="Heading2"/>
        <w:numPr>
          <w:ilvl w:val="0"/>
          <w:numId w:val="0"/>
        </w:numPr>
      </w:pPr>
      <w:bookmarkStart w:id="29" w:name="_Toc379892893"/>
      <w:bookmarkStart w:id="30" w:name="_Toc379893001"/>
    </w:p>
    <w:p w14:paraId="6C2EB7DE" w14:textId="77777777" w:rsidR="00F72C3B" w:rsidRPr="001025FE" w:rsidRDefault="00F72C3B" w:rsidP="00246AC6">
      <w:pPr>
        <w:pStyle w:val="Heading2"/>
      </w:pPr>
      <w:r w:rsidRPr="001025FE">
        <w:t>Fraud and Bribery</w:t>
      </w:r>
      <w:bookmarkEnd w:id="29"/>
      <w:bookmarkEnd w:id="30"/>
    </w:p>
    <w:p w14:paraId="5750A387" w14:textId="77777777" w:rsidR="00F72C3B" w:rsidRPr="001025FE" w:rsidRDefault="00F72C3B" w:rsidP="00891865">
      <w:pPr>
        <w:pStyle w:val="Heading3"/>
      </w:pPr>
      <w:r w:rsidRPr="001025FE">
        <w:t xml:space="preserve">Heads of College/Professional Service are responsible for ensuring that appropriate procedures are put in place to ensure that all members of their areas comply with all financial regulations and any other financial instructions. </w:t>
      </w:r>
    </w:p>
    <w:p w14:paraId="4B9E50D4" w14:textId="77777777" w:rsidR="00F72C3B" w:rsidRPr="001025FE" w:rsidRDefault="00F72C3B" w:rsidP="00891865">
      <w:pPr>
        <w:pStyle w:val="Heading3"/>
      </w:pPr>
      <w:r w:rsidRPr="001025FE">
        <w:t xml:space="preserve">The Chief Finance Officer will support these regulations by the issue of more detailed guidance and instructions to Heads of Professional Service and Schools from time to time. </w:t>
      </w:r>
    </w:p>
    <w:p w14:paraId="138FA63E" w14:textId="77777777" w:rsidR="00F72C3B" w:rsidRPr="001025FE" w:rsidRDefault="00F72C3B" w:rsidP="00691110">
      <w:pPr>
        <w:pStyle w:val="Heading3"/>
      </w:pPr>
      <w:r w:rsidRPr="001025FE">
        <w:t>In order to act in an appropriate manner, employees are expected to observe the Financial Guiding Principles.</w:t>
      </w:r>
    </w:p>
    <w:p w14:paraId="08E9481B" w14:textId="77777777" w:rsidR="00F72C3B" w:rsidRPr="001025FE" w:rsidRDefault="00F72C3B" w:rsidP="00891865">
      <w:pPr>
        <w:pStyle w:val="Heading3"/>
      </w:pPr>
      <w:r w:rsidRPr="001025FE">
        <w:t xml:space="preserve">All officers and employees shall ensure that any financial transaction to which they are party, in the course of their duties, shall be wholly exclusively and necessarily in the interests of the University and shall be properly authorised and recorded in the records and accounts of the University. Where any actual or potential conflict of interest arises this should be declared to the Head of College/Professional Service. If considered necessary, further guidance and advice should be obtained from the Chief Finance Officer. </w:t>
      </w:r>
    </w:p>
    <w:p w14:paraId="787FF465" w14:textId="77777777" w:rsidR="00F72C3B" w:rsidRPr="001025FE" w:rsidRDefault="00F72C3B" w:rsidP="00891865">
      <w:pPr>
        <w:pStyle w:val="Heading3"/>
      </w:pPr>
      <w:r w:rsidRPr="001025FE">
        <w:t xml:space="preserve">Heads of College/Professional Service shall promptly inform the Chief Finance Officer of any irregularities affecting income, expenditure, </w:t>
      </w:r>
      <w:proofErr w:type="gramStart"/>
      <w:r w:rsidRPr="001025FE">
        <w:t>cash</w:t>
      </w:r>
      <w:proofErr w:type="gramEnd"/>
      <w:r w:rsidRPr="001025FE">
        <w:t>, intellectual and other property of the University.</w:t>
      </w:r>
    </w:p>
    <w:p w14:paraId="5FCFB68F" w14:textId="77777777" w:rsidR="00F72C3B" w:rsidRPr="001025FE" w:rsidRDefault="00F72C3B" w:rsidP="00891865">
      <w:pPr>
        <w:pStyle w:val="Heading3"/>
      </w:pPr>
      <w:r w:rsidRPr="001025FE">
        <w:t>It is an offence under the Bribery Act 2010 for members of staff to offer, promise, give, request, agree to receive or accept financial or other advantage with the intention of inducing or rewarding the improper performance of a function or activity or knowing or believing that the giving or acceptance of the advantage would itself constitute the improper performance. Details of gifts and hospitality that members of staff may and may not accept are included within the University’s Gifts and Hospitality Policy.</w:t>
      </w:r>
    </w:p>
    <w:p w14:paraId="3E9B6D22" w14:textId="77777777" w:rsidR="00F72C3B" w:rsidRPr="001025FE" w:rsidRDefault="00F72C3B" w:rsidP="00891865">
      <w:pPr>
        <w:pStyle w:val="Heading3"/>
      </w:pPr>
      <w:r w:rsidRPr="001025FE">
        <w:t>A register is kept by the Finance Department containing a declaration by senior officers and employees, with the authority to commit to significant amounts of expenditure, of all commercial interests of themselves and close relatives in any organisation which is a supplier or a potential provider of goods and services in any form to the University. The Chief Finance Officer is responsible for updating this register on an annual basis.</w:t>
      </w:r>
    </w:p>
    <w:p w14:paraId="6BB67B61" w14:textId="77777777" w:rsidR="00F72C3B" w:rsidRPr="001025FE" w:rsidRDefault="00F72C3B" w:rsidP="00152C32">
      <w:pPr>
        <w:pStyle w:val="Heading2"/>
        <w:numPr>
          <w:ilvl w:val="0"/>
          <w:numId w:val="0"/>
        </w:numPr>
      </w:pPr>
      <w:bookmarkStart w:id="31" w:name="_Toc379892891"/>
      <w:bookmarkStart w:id="32" w:name="_Toc379892999"/>
    </w:p>
    <w:p w14:paraId="52A823C2" w14:textId="77777777" w:rsidR="00F72C3B" w:rsidRPr="001025FE" w:rsidRDefault="00F72C3B" w:rsidP="00446F99">
      <w:pPr>
        <w:pStyle w:val="Heading2"/>
      </w:pPr>
      <w:r w:rsidRPr="001025FE">
        <w:t>Financial Misconduct and ‘Whistle Blowing</w:t>
      </w:r>
      <w:bookmarkEnd w:id="31"/>
      <w:bookmarkEnd w:id="32"/>
      <w:r w:rsidRPr="001025FE">
        <w:t>’</w:t>
      </w:r>
    </w:p>
    <w:p w14:paraId="1770BC7F" w14:textId="3C511D7F" w:rsidR="00F72C3B" w:rsidRPr="001025FE" w:rsidRDefault="00F72C3B" w:rsidP="009442CC">
      <w:pPr>
        <w:pStyle w:val="Heading3"/>
        <w:rPr>
          <w:szCs w:val="22"/>
        </w:rPr>
      </w:pPr>
      <w:r w:rsidRPr="001025FE">
        <w:rPr>
          <w:rFonts w:cs="Arial"/>
          <w:szCs w:val="22"/>
        </w:rPr>
        <w:t xml:space="preserve">If an individual suspects any matter which is thought to involve financial misconduct in the exercise of the activities of the University, the individual should notify the Chief Finance Officer or another appropriate member of the </w:t>
      </w:r>
      <w:r w:rsidR="003F7586">
        <w:rPr>
          <w:rFonts w:cs="Arial"/>
          <w:szCs w:val="22"/>
        </w:rPr>
        <w:t>Senior Leadership Team</w:t>
      </w:r>
      <w:r w:rsidRPr="001025FE">
        <w:rPr>
          <w:rFonts w:cs="Arial"/>
          <w:szCs w:val="22"/>
        </w:rPr>
        <w:t>.</w:t>
      </w:r>
    </w:p>
    <w:p w14:paraId="5AFC00A5" w14:textId="77777777" w:rsidR="00F72C3B" w:rsidRPr="001025FE" w:rsidRDefault="00F72C3B" w:rsidP="009442CC">
      <w:pPr>
        <w:pStyle w:val="Heading3"/>
      </w:pPr>
      <w:r w:rsidRPr="001025FE">
        <w:rPr>
          <w:rFonts w:cs="Arial"/>
          <w:szCs w:val="22"/>
        </w:rPr>
        <w:t xml:space="preserve">If an individual is not satisfied that their complaint has resulted in the appropriate action they should consider following the procedures set out within the University’s Public Interest Disclosure (Whistle Blowing) Policy </w:t>
      </w:r>
      <w:r w:rsidRPr="001025FE">
        <w:t>which is available on the University Portal.</w:t>
      </w:r>
    </w:p>
    <w:p w14:paraId="10B18FBD" w14:textId="77777777" w:rsidR="00F72C3B" w:rsidRPr="001025FE" w:rsidRDefault="00F72C3B" w:rsidP="009442CC">
      <w:pPr>
        <w:pStyle w:val="Heading3"/>
      </w:pPr>
      <w:r w:rsidRPr="001025FE">
        <w:t>The University views fraud and bribery very seriously and will take appropriate action to ensure that the public interest is safeguarded.</w:t>
      </w:r>
    </w:p>
    <w:p w14:paraId="06E3F851" w14:textId="77777777" w:rsidR="00F72C3B" w:rsidRPr="001025FE" w:rsidRDefault="00F72C3B" w:rsidP="009442CC"/>
    <w:p w14:paraId="72B9E6CE" w14:textId="77777777" w:rsidR="00F72C3B" w:rsidRPr="001025FE" w:rsidRDefault="00F72C3B" w:rsidP="002A58B2"/>
    <w:p w14:paraId="60D8738E" w14:textId="77777777" w:rsidR="00F72C3B" w:rsidRPr="001025FE" w:rsidRDefault="00F72C3B" w:rsidP="00246AC6">
      <w:pPr>
        <w:pStyle w:val="Heading1"/>
      </w:pPr>
      <w:bookmarkStart w:id="33" w:name="accountingrec"/>
      <w:bookmarkStart w:id="34" w:name="_Toc378680937"/>
      <w:bookmarkStart w:id="35" w:name="_Toc379892894"/>
      <w:bookmarkStart w:id="36" w:name="_Toc379893002"/>
      <w:bookmarkEnd w:id="33"/>
      <w:r w:rsidRPr="001025FE">
        <w:t>Financial Management</w:t>
      </w:r>
      <w:bookmarkEnd w:id="34"/>
      <w:bookmarkEnd w:id="35"/>
      <w:bookmarkEnd w:id="36"/>
    </w:p>
    <w:p w14:paraId="6AD5FF33" w14:textId="77777777" w:rsidR="00F72C3B" w:rsidRPr="001025FE" w:rsidRDefault="00F72C3B" w:rsidP="00152C32">
      <w:pPr>
        <w:pStyle w:val="Heading2"/>
        <w:numPr>
          <w:ilvl w:val="0"/>
          <w:numId w:val="0"/>
        </w:numPr>
      </w:pPr>
      <w:bookmarkStart w:id="37" w:name="_Toc378680938"/>
      <w:bookmarkStart w:id="38" w:name="_Toc379892895"/>
      <w:bookmarkStart w:id="39" w:name="_Toc379893003"/>
    </w:p>
    <w:p w14:paraId="2EAC47F5" w14:textId="77777777" w:rsidR="00F72C3B" w:rsidRPr="001025FE" w:rsidRDefault="00F72C3B" w:rsidP="00246AC6">
      <w:pPr>
        <w:pStyle w:val="Heading2"/>
      </w:pPr>
      <w:r w:rsidRPr="001025FE">
        <w:t>Accounting Records, Procedures and Principles</w:t>
      </w:r>
      <w:bookmarkEnd w:id="37"/>
      <w:bookmarkEnd w:id="38"/>
      <w:bookmarkEnd w:id="39"/>
      <w:r w:rsidRPr="001025FE">
        <w:t xml:space="preserve"> </w:t>
      </w:r>
    </w:p>
    <w:p w14:paraId="2251425F" w14:textId="77777777" w:rsidR="00F72C3B" w:rsidRPr="001025FE" w:rsidRDefault="00F72C3B" w:rsidP="00891865">
      <w:pPr>
        <w:pStyle w:val="Heading3"/>
      </w:pPr>
      <w:r w:rsidRPr="001025FE">
        <w:t xml:space="preserve">All accounting records and procedures of the University are subject to the approval and control of the Chief Finance Officer. </w:t>
      </w:r>
    </w:p>
    <w:p w14:paraId="226BEB1D" w14:textId="77777777" w:rsidR="00F72C3B" w:rsidRPr="001025FE" w:rsidRDefault="00F72C3B" w:rsidP="00891865">
      <w:pPr>
        <w:pStyle w:val="Heading3"/>
        <w:rPr>
          <w:szCs w:val="22"/>
        </w:rPr>
      </w:pPr>
      <w:r w:rsidRPr="001025FE">
        <w:rPr>
          <w:rFonts w:cs="Arial"/>
          <w:szCs w:val="22"/>
        </w:rPr>
        <w:t>All officers and employees shall make available any relevant accounting records or information to the Chief Finance Officer as requested.</w:t>
      </w:r>
    </w:p>
    <w:p w14:paraId="21277EA5" w14:textId="77777777" w:rsidR="00F72C3B" w:rsidRPr="001025FE" w:rsidRDefault="00F72C3B" w:rsidP="00891865">
      <w:pPr>
        <w:pStyle w:val="Heading3"/>
      </w:pPr>
      <w:r w:rsidRPr="001025FE">
        <w:t xml:space="preserve">Changes to accounting records, documents or procedures may only be made following consultation with the Chief Finance Officer or their deputies, acting with delegated authority. </w:t>
      </w:r>
    </w:p>
    <w:p w14:paraId="033241E2" w14:textId="77777777" w:rsidR="00F72C3B" w:rsidRPr="001025FE" w:rsidRDefault="00F72C3B" w:rsidP="00891865">
      <w:pPr>
        <w:pStyle w:val="Heading3"/>
      </w:pPr>
      <w:r w:rsidRPr="001025FE">
        <w:t xml:space="preserve">The Chief Finance Officer shall be responsible for keeping all financial procedures under review and will implement changes to procedures or systems as may be necessary for efficient and effective financial control. </w:t>
      </w:r>
    </w:p>
    <w:p w14:paraId="3A162895" w14:textId="77777777" w:rsidR="00F72C3B" w:rsidRPr="001025FE" w:rsidRDefault="00F72C3B" w:rsidP="0094690F">
      <w:pPr>
        <w:pStyle w:val="Heading3"/>
      </w:pPr>
      <w:r w:rsidRPr="001025FE">
        <w:t xml:space="preserve">All receipt books, forms, tickets and sales invoices shall be ordered, controlled and issued by the Finance Department under the direction of the Chief Finance Officer. </w:t>
      </w:r>
    </w:p>
    <w:p w14:paraId="7F1FBFC8" w14:textId="77777777" w:rsidR="00F72C3B" w:rsidRPr="001025FE" w:rsidRDefault="00F72C3B" w:rsidP="00891865">
      <w:pPr>
        <w:pStyle w:val="Heading3"/>
      </w:pPr>
      <w:r w:rsidRPr="001025FE">
        <w:t xml:space="preserve">The Chief Finance Officer shall be responsible for the preparation of a report to the Board of Governors on the Annual Accounts of the University following the end of the Financial Year on 31 July, together with reports on actual and forecast financial performance throughout the year. </w:t>
      </w:r>
    </w:p>
    <w:p w14:paraId="000D62D5" w14:textId="1943C7C0" w:rsidR="00F72C3B" w:rsidRPr="001025FE" w:rsidRDefault="00F72C3B" w:rsidP="00891865">
      <w:pPr>
        <w:pStyle w:val="Heading3"/>
      </w:pPr>
      <w:r w:rsidRPr="001025FE">
        <w:t xml:space="preserve">The Chief Finance Officer shall be responsible for the preparation of cash flow forecasts as required as part of the on-going monitoring of bank balances and current/future debt exposure and to present to Board of Governors to support the affordability of </w:t>
      </w:r>
      <w:r w:rsidR="003A5865" w:rsidRPr="001025FE">
        <w:t xml:space="preserve">Income and Expenditure Budgets and </w:t>
      </w:r>
      <w:r w:rsidRPr="001025FE">
        <w:t xml:space="preserve">capital investment proposals. </w:t>
      </w:r>
    </w:p>
    <w:p w14:paraId="1C952C92" w14:textId="0EE57313" w:rsidR="00F72C3B" w:rsidRPr="001025FE" w:rsidRDefault="00F72C3B" w:rsidP="003376D3">
      <w:pPr>
        <w:pStyle w:val="Heading3"/>
      </w:pPr>
      <w:r w:rsidRPr="001025FE">
        <w:t xml:space="preserve">All financial information to be included on a Board of Governors and </w:t>
      </w:r>
      <w:r w:rsidR="003F7586">
        <w:t>Senior Leadership Team</w:t>
      </w:r>
      <w:r w:rsidRPr="001025FE">
        <w:t xml:space="preserve"> agendas shall be subject to assessment by the Chief Finance Officer or an appropriate delegate, prior to being considered by committee. </w:t>
      </w:r>
    </w:p>
    <w:p w14:paraId="21DB9072" w14:textId="77777777" w:rsidR="00F72C3B" w:rsidRPr="001025FE" w:rsidRDefault="00F72C3B" w:rsidP="00D65442">
      <w:pPr>
        <w:pStyle w:val="Heading3"/>
      </w:pPr>
      <w:bookmarkStart w:id="40" w:name="_Toc379892896"/>
      <w:bookmarkStart w:id="41" w:name="_Toc379893004"/>
      <w:r w:rsidRPr="001025FE">
        <w:t xml:space="preserve">The minimum period for the retention of financial records and related documents shall be specified by the Chief Finance Officer. </w:t>
      </w:r>
      <w:bookmarkStart w:id="42" w:name="audit"/>
      <w:bookmarkEnd w:id="42"/>
    </w:p>
    <w:p w14:paraId="7F411763" w14:textId="77777777" w:rsidR="00F72C3B" w:rsidRPr="001025FE" w:rsidRDefault="00F72C3B" w:rsidP="00152C32">
      <w:pPr>
        <w:pStyle w:val="Heading2"/>
        <w:numPr>
          <w:ilvl w:val="0"/>
          <w:numId w:val="0"/>
        </w:numPr>
      </w:pPr>
    </w:p>
    <w:p w14:paraId="7F2B3715" w14:textId="77777777" w:rsidR="00F72C3B" w:rsidRPr="001025FE" w:rsidRDefault="00F72C3B" w:rsidP="00246AC6">
      <w:pPr>
        <w:pStyle w:val="Heading2"/>
      </w:pPr>
      <w:r w:rsidRPr="001025FE">
        <w:t>Treasury Management</w:t>
      </w:r>
      <w:bookmarkEnd w:id="40"/>
      <w:bookmarkEnd w:id="41"/>
    </w:p>
    <w:p w14:paraId="37ED263A" w14:textId="77777777" w:rsidR="00F72C3B" w:rsidRPr="001025FE" w:rsidRDefault="00F72C3B" w:rsidP="00891865">
      <w:pPr>
        <w:pStyle w:val="Heading3"/>
      </w:pPr>
      <w:r w:rsidRPr="001025FE">
        <w:t>The Board of Governors is responsible for approving the University’s Treasury Management Policy, which sets out a strategy and policies for cash management, long-term investments and borrowings. The Treasury Management policy must comply with the requirements of CIPFA’s Code of Practice on Treasury Management.</w:t>
      </w:r>
    </w:p>
    <w:p w14:paraId="1FE053D1" w14:textId="77777777" w:rsidR="00F72C3B" w:rsidRPr="001025FE" w:rsidRDefault="00F72C3B" w:rsidP="00152C32">
      <w:pPr>
        <w:pStyle w:val="Heading2"/>
        <w:numPr>
          <w:ilvl w:val="0"/>
          <w:numId w:val="0"/>
        </w:numPr>
      </w:pPr>
      <w:bookmarkStart w:id="43" w:name="_Toc379892897"/>
      <w:bookmarkStart w:id="44" w:name="_Toc379893005"/>
    </w:p>
    <w:p w14:paraId="7BFC3D1B" w14:textId="77777777" w:rsidR="00F72C3B" w:rsidRPr="001025FE" w:rsidRDefault="00F72C3B" w:rsidP="00C35DD9"/>
    <w:p w14:paraId="16C14041" w14:textId="77777777" w:rsidR="00F72C3B" w:rsidRPr="001025FE" w:rsidRDefault="00F72C3B" w:rsidP="00D34A63">
      <w:pPr>
        <w:pStyle w:val="Heading2"/>
      </w:pPr>
      <w:r w:rsidRPr="001025FE">
        <w:t>Banking Arrangements</w:t>
      </w:r>
      <w:bookmarkEnd w:id="43"/>
      <w:bookmarkEnd w:id="44"/>
    </w:p>
    <w:p w14:paraId="0ECAB271" w14:textId="77777777" w:rsidR="00F72C3B" w:rsidRPr="001025FE" w:rsidRDefault="00F72C3B" w:rsidP="00D34A63">
      <w:pPr>
        <w:pStyle w:val="Heading3"/>
      </w:pPr>
      <w:r w:rsidRPr="001025FE">
        <w:t>In this section the term ‘bank’ includes all types of funds transfer facilities including, but not limited to, current accounts, deposit accounts, credit cards, prepaid debit cards and PayPal accounts.</w:t>
      </w:r>
    </w:p>
    <w:p w14:paraId="112C4EB4" w14:textId="77777777" w:rsidR="00F72C3B" w:rsidRPr="001025FE" w:rsidRDefault="00F72C3B" w:rsidP="00D34A63">
      <w:pPr>
        <w:pStyle w:val="Heading3"/>
      </w:pPr>
      <w:r w:rsidRPr="001025FE">
        <w:t xml:space="preserve">All arrangements with the University's bankers concerning the operation of bank accounts for the receipt and disbursement of University funds will be made by the Chief Financial Officer and approved by Board of Governors. </w:t>
      </w:r>
    </w:p>
    <w:p w14:paraId="6BD404F6" w14:textId="77777777" w:rsidR="00F72C3B" w:rsidRPr="001025FE" w:rsidRDefault="00F72C3B" w:rsidP="00373138">
      <w:pPr>
        <w:pStyle w:val="Heading3"/>
      </w:pPr>
      <w:r w:rsidRPr="001025FE">
        <w:t xml:space="preserve">Payments will be made out of the University's bank accounts by authorised electronic transfer and by cheques bearing the manuscript signatures of those individuals specified in the Bank Mandate. </w:t>
      </w:r>
    </w:p>
    <w:p w14:paraId="3FCF4CB3" w14:textId="77777777" w:rsidR="00F72C3B" w:rsidRPr="001025FE" w:rsidRDefault="00F72C3B" w:rsidP="007A1D57">
      <w:pPr>
        <w:pStyle w:val="Heading3"/>
      </w:pPr>
      <w:r w:rsidRPr="001025FE">
        <w:t xml:space="preserve">The Bank Mandate shall be reviewed at least annually and any amendments should be in accordance with the Scheme of Delegation and approved by the Chief Finance Officer. </w:t>
      </w:r>
    </w:p>
    <w:p w14:paraId="0EBE4845" w14:textId="77777777" w:rsidR="00F72C3B" w:rsidRPr="001025FE" w:rsidRDefault="00F72C3B" w:rsidP="007A1D57">
      <w:pPr>
        <w:pStyle w:val="Heading3"/>
      </w:pPr>
      <w:r w:rsidRPr="001025FE">
        <w:t xml:space="preserve">All bank accounts relating to the University shall include in their title "University of Lincoln". </w:t>
      </w:r>
    </w:p>
    <w:p w14:paraId="34E73F5B" w14:textId="137C5388" w:rsidR="00F72C3B" w:rsidRPr="001025FE" w:rsidRDefault="00F72C3B" w:rsidP="00373138">
      <w:pPr>
        <w:pStyle w:val="Heading3"/>
      </w:pPr>
      <w:r w:rsidRPr="001025FE">
        <w:t xml:space="preserve">The Chief Financial Officer and one other member of the </w:t>
      </w:r>
      <w:r w:rsidR="003F7586">
        <w:t>Senior Leadership Team</w:t>
      </w:r>
      <w:r w:rsidRPr="001025FE">
        <w:t xml:space="preserve"> are jointly authorised to open bank accounts as and when required for the receipt and disbursement of University Funds. No other officer or employee may open any form of banking facility on behalf of the University.</w:t>
      </w:r>
    </w:p>
    <w:p w14:paraId="26765A0E" w14:textId="77777777" w:rsidR="00F72C3B" w:rsidRPr="001025FE" w:rsidRDefault="00F72C3B" w:rsidP="00D34A63"/>
    <w:p w14:paraId="25699651" w14:textId="77777777" w:rsidR="00F72C3B" w:rsidRPr="001025FE" w:rsidRDefault="00F72C3B" w:rsidP="00D34A63">
      <w:pPr>
        <w:pStyle w:val="Heading2"/>
      </w:pPr>
      <w:bookmarkStart w:id="45" w:name="_Toc379892898"/>
      <w:bookmarkStart w:id="46" w:name="_Toc379893006"/>
      <w:r w:rsidRPr="001025FE">
        <w:t>Contracts</w:t>
      </w:r>
      <w:bookmarkEnd w:id="45"/>
      <w:bookmarkEnd w:id="46"/>
    </w:p>
    <w:p w14:paraId="5EB862FD" w14:textId="77777777" w:rsidR="00F72C3B" w:rsidRPr="001025FE" w:rsidRDefault="00F72C3B" w:rsidP="00B00053">
      <w:pPr>
        <w:pStyle w:val="Heading3"/>
      </w:pPr>
      <w:r w:rsidRPr="001025FE">
        <w:t xml:space="preserve">In this section the term ‘contract’ specifically refers to any contract that enters the University into a legal financial commitment (excluding contracts of employment). Any contract that involves the creation of, or investment in, any form of subsidiary, joint venture, associate or spin-out </w:t>
      </w:r>
      <w:proofErr w:type="gramStart"/>
      <w:r w:rsidRPr="001025FE">
        <w:t>company</w:t>
      </w:r>
      <w:proofErr w:type="gramEnd"/>
      <w:r w:rsidRPr="001025FE">
        <w:t xml:space="preserve"> is considered in section 4. </w:t>
      </w:r>
    </w:p>
    <w:p w14:paraId="62BA5B46" w14:textId="4BCD403A" w:rsidR="00F72C3B" w:rsidRPr="001025FE" w:rsidRDefault="00F72C3B" w:rsidP="00B00053">
      <w:pPr>
        <w:pStyle w:val="Heading3"/>
      </w:pPr>
      <w:r w:rsidRPr="001025FE">
        <w:t xml:space="preserve">Contracts may only be made by persons acting under the express or implied authority of the Board of Governors within the parameters defined in the </w:t>
      </w:r>
      <w:r w:rsidR="00627F7F">
        <w:t>Scheme of Delegated</w:t>
      </w:r>
      <w:r w:rsidRPr="001025FE">
        <w:t xml:space="preserve"> Financial Authorit</w:t>
      </w:r>
      <w:r w:rsidR="000F43C9">
        <w:t>ies (as set out in Appendix A).</w:t>
      </w:r>
    </w:p>
    <w:p w14:paraId="064C74D4" w14:textId="167DD4A0" w:rsidR="00260407" w:rsidRDefault="00F72C3B" w:rsidP="00260407">
      <w:pPr>
        <w:pStyle w:val="Heading3"/>
      </w:pPr>
      <w:bookmarkStart w:id="47" w:name="capital"/>
      <w:bookmarkEnd w:id="47"/>
      <w:r w:rsidRPr="001025FE">
        <w:t>Contracts may only be made where the appropriate legal and professional advice has been taken. Any contract entered into by any officer or employee without appropriate legal and professional advice shall be considered a breach of these Financial Regulations.</w:t>
      </w:r>
    </w:p>
    <w:p w14:paraId="17C1799D" w14:textId="239D41A7" w:rsidR="00260407" w:rsidRPr="00260407" w:rsidRDefault="00621EA3" w:rsidP="00621EA3">
      <w:pPr>
        <w:ind w:left="720" w:hanging="720"/>
      </w:pPr>
      <w:r>
        <w:t>3.4.4</w:t>
      </w:r>
      <w:r>
        <w:tab/>
        <w:t xml:space="preserve">Contracts valued over £100,000 require </w:t>
      </w:r>
      <w:r w:rsidR="000378B5">
        <w:t>advice from</w:t>
      </w:r>
      <w:r>
        <w:t xml:space="preserve"> the Head of Purchasing and Procurement to determine the most appropriate method of execution</w:t>
      </w:r>
      <w:r w:rsidR="000378B5">
        <w:t xml:space="preserve"> of th</w:t>
      </w:r>
      <w:r w:rsidR="001E2ADA">
        <w:t>at</w:t>
      </w:r>
      <w:r w:rsidR="000378B5">
        <w:t xml:space="preserve"> contract</w:t>
      </w:r>
      <w:r>
        <w:t>.</w:t>
      </w:r>
    </w:p>
    <w:p w14:paraId="3E638105" w14:textId="77777777" w:rsidR="00621EA3" w:rsidRPr="00621EA3" w:rsidRDefault="00621EA3" w:rsidP="00621EA3">
      <w:pPr>
        <w:pStyle w:val="ListParagraph"/>
        <w:keepNext/>
        <w:keepLines/>
        <w:numPr>
          <w:ilvl w:val="2"/>
          <w:numId w:val="6"/>
        </w:numPr>
        <w:spacing w:before="120"/>
        <w:contextualSpacing w:val="0"/>
        <w:jc w:val="both"/>
        <w:outlineLvl w:val="2"/>
        <w:rPr>
          <w:bCs/>
          <w:vanish/>
        </w:rPr>
      </w:pPr>
    </w:p>
    <w:p w14:paraId="6C8B423B" w14:textId="649EE27B" w:rsidR="00F72C3B" w:rsidRPr="001025FE" w:rsidRDefault="00F72C3B" w:rsidP="00621EA3">
      <w:pPr>
        <w:pStyle w:val="Heading3"/>
      </w:pPr>
      <w:r w:rsidRPr="001025FE">
        <w:t>Certain documents that are executed by the seal being affixed must be signed by the Vice Chancellor (or in their absence a Deputy Vice Chancellor) and a lay Governor.  The Clerk to the Board of Governors is responsible for submitting a report to each meeting of the Board of Governors detailing the use of the University’s seal since the last meeting.</w:t>
      </w:r>
    </w:p>
    <w:p w14:paraId="762D4BEC" w14:textId="77777777" w:rsidR="00621EA3" w:rsidRPr="00621EA3" w:rsidRDefault="00621EA3" w:rsidP="00621EA3">
      <w:pPr>
        <w:pStyle w:val="ListParagraph"/>
        <w:keepNext/>
        <w:keepLines/>
        <w:numPr>
          <w:ilvl w:val="2"/>
          <w:numId w:val="6"/>
        </w:numPr>
        <w:spacing w:before="120"/>
        <w:contextualSpacing w:val="0"/>
        <w:jc w:val="both"/>
        <w:outlineLvl w:val="2"/>
        <w:rPr>
          <w:bCs/>
          <w:vanish/>
        </w:rPr>
      </w:pPr>
    </w:p>
    <w:p w14:paraId="3578B9A9" w14:textId="45C01D35" w:rsidR="00F72C3B" w:rsidRPr="001025FE" w:rsidRDefault="00F72C3B" w:rsidP="00621EA3">
      <w:pPr>
        <w:pStyle w:val="Heading3"/>
      </w:pPr>
      <w:r w:rsidRPr="001025FE">
        <w:t>The Chief Finance Officer should be consulted before any form of indemnity, security or compensation arrangement, for whatever purpose, is given.</w:t>
      </w:r>
    </w:p>
    <w:p w14:paraId="4411FFB6" w14:textId="7B0DA386" w:rsidR="00F72C3B" w:rsidRPr="001025FE" w:rsidRDefault="00F72C3B" w:rsidP="00621EA3">
      <w:pPr>
        <w:pStyle w:val="Heading3"/>
        <w:numPr>
          <w:ilvl w:val="0"/>
          <w:numId w:val="0"/>
        </w:numPr>
      </w:pPr>
      <w:r w:rsidRPr="001025FE">
        <w:t xml:space="preserve"> </w:t>
      </w:r>
    </w:p>
    <w:p w14:paraId="018BD4F1" w14:textId="77777777" w:rsidR="00F72C3B" w:rsidRPr="001025FE" w:rsidRDefault="00F72C3B" w:rsidP="00246AC6">
      <w:pPr>
        <w:pStyle w:val="Heading1"/>
      </w:pPr>
      <w:bookmarkStart w:id="48" w:name="_Toc378680939"/>
      <w:bookmarkStart w:id="49" w:name="_Toc379892900"/>
      <w:bookmarkStart w:id="50" w:name="_Toc379893008"/>
      <w:r w:rsidRPr="001025FE">
        <w:t>Income, Commercial Activity and Debtors</w:t>
      </w:r>
      <w:bookmarkEnd w:id="48"/>
      <w:bookmarkEnd w:id="49"/>
      <w:bookmarkEnd w:id="50"/>
      <w:r w:rsidRPr="001025FE">
        <w:t xml:space="preserve"> </w:t>
      </w:r>
      <w:bookmarkStart w:id="51" w:name="_Toc365465394"/>
    </w:p>
    <w:p w14:paraId="6C74E3A3" w14:textId="77777777" w:rsidR="00F72C3B" w:rsidRPr="001025FE" w:rsidRDefault="00F72C3B" w:rsidP="00152C32">
      <w:pPr>
        <w:pStyle w:val="Heading2"/>
        <w:numPr>
          <w:ilvl w:val="0"/>
          <w:numId w:val="0"/>
        </w:numPr>
      </w:pPr>
      <w:bookmarkStart w:id="52" w:name="_Toc379892901"/>
      <w:bookmarkStart w:id="53" w:name="_Toc379893009"/>
    </w:p>
    <w:p w14:paraId="5B4DC5FF" w14:textId="77777777" w:rsidR="00F72C3B" w:rsidRPr="001025FE" w:rsidRDefault="00F72C3B" w:rsidP="004E4CC9">
      <w:pPr>
        <w:pStyle w:val="Heading2"/>
      </w:pPr>
      <w:r w:rsidRPr="001025FE">
        <w:t>Invoicing and Collection of ‘Non-Cash’ Income</w:t>
      </w:r>
    </w:p>
    <w:bookmarkEnd w:id="52"/>
    <w:bookmarkEnd w:id="53"/>
    <w:p w14:paraId="51B1AEAA" w14:textId="77777777" w:rsidR="00F72C3B" w:rsidRPr="001025FE" w:rsidRDefault="00F72C3B" w:rsidP="00873AB9">
      <w:pPr>
        <w:pStyle w:val="Heading3"/>
      </w:pPr>
      <w:r w:rsidRPr="001025FE">
        <w:t>All student fee income must be collected in accordance with the University Regulations.</w:t>
      </w:r>
    </w:p>
    <w:p w14:paraId="2886803C" w14:textId="77777777" w:rsidR="00F72C3B" w:rsidRPr="001025FE" w:rsidRDefault="00F72C3B" w:rsidP="00254DFF">
      <w:pPr>
        <w:pStyle w:val="Heading3"/>
      </w:pPr>
      <w:r w:rsidRPr="001025FE">
        <w:t>All research, educational contract and consultancy activity should be undertaken in accordance with procedures approved by the Director of Research and Enterprise.</w:t>
      </w:r>
    </w:p>
    <w:p w14:paraId="4AF2346B" w14:textId="62EC74D0" w:rsidR="00F72C3B" w:rsidRPr="001025FE" w:rsidRDefault="00F72C3B" w:rsidP="00013199">
      <w:pPr>
        <w:pStyle w:val="Heading3"/>
      </w:pPr>
      <w:bookmarkStart w:id="54" w:name="_Toc379892903"/>
      <w:bookmarkStart w:id="55" w:name="_Toc379893011"/>
      <w:r w:rsidRPr="001025FE">
        <w:t xml:space="preserve">Levels of charges for contract research, services rendered, goods supplied and rents and lettings are determined by procedures approved by the </w:t>
      </w:r>
      <w:r w:rsidR="003F7586">
        <w:t>Senior Leadership Team</w:t>
      </w:r>
      <w:r w:rsidRPr="001025FE">
        <w:t>.</w:t>
      </w:r>
    </w:p>
    <w:p w14:paraId="48D1D6AB" w14:textId="77777777" w:rsidR="00F72C3B" w:rsidRPr="001025FE" w:rsidRDefault="00F72C3B" w:rsidP="004E4CC9">
      <w:pPr>
        <w:pStyle w:val="Heading3"/>
      </w:pPr>
      <w:r w:rsidRPr="001025FE">
        <w:t>The setting of credit limits for commercial customers shall be determined by procedures set out by the Chief Finance Officer. No commercial activity should be undertaken for a new customer until appropriate credit checks have been carried out by the Finance Department. It is the responsibility of the relevant officer or employee to inform the Finance Department of new commercial customers and request the appropriate credit checks.</w:t>
      </w:r>
    </w:p>
    <w:p w14:paraId="35254A3E" w14:textId="77777777" w:rsidR="00F72C3B" w:rsidRPr="001025FE" w:rsidRDefault="00F72C3B" w:rsidP="004E4CC9">
      <w:pPr>
        <w:pStyle w:val="Heading3"/>
      </w:pPr>
      <w:r w:rsidRPr="001025FE">
        <w:t>The collection of all income due to the University is under the control of the Chief Finance Officer. All monies should be promptly paid over to the Finance Department unless the Chief Finance Officer has specifically approved alternative paying-in arrangements.</w:t>
      </w:r>
    </w:p>
    <w:p w14:paraId="729E0A7B" w14:textId="77777777" w:rsidR="00F72C3B" w:rsidRPr="001025FE" w:rsidRDefault="00F72C3B" w:rsidP="004E4CC9">
      <w:pPr>
        <w:pStyle w:val="Heading3"/>
      </w:pPr>
      <w:r w:rsidRPr="001025FE">
        <w:t>All sales invoices or requests for payment shall be controlled and raised by Finance except where specific approval to make alternative arrangements has been granted by the Chief Finance Officer.</w:t>
      </w:r>
    </w:p>
    <w:p w14:paraId="34050858" w14:textId="77777777" w:rsidR="00F72C3B" w:rsidRPr="001025FE" w:rsidRDefault="00F72C3B" w:rsidP="004E4CC9">
      <w:pPr>
        <w:pStyle w:val="Heading3"/>
      </w:pPr>
      <w:r w:rsidRPr="001025FE">
        <w:t xml:space="preserve">All sales invoices or requests for payment shall specify that cheques should be made payable to "University of Lincoln" and not to any other commercial body or individual. </w:t>
      </w:r>
    </w:p>
    <w:p w14:paraId="401DF4F5" w14:textId="51E91703" w:rsidR="00F72C3B" w:rsidRPr="001025FE" w:rsidRDefault="00F72C3B" w:rsidP="00D65442">
      <w:pPr>
        <w:pStyle w:val="Heading3"/>
      </w:pPr>
      <w:r w:rsidRPr="001025FE">
        <w:t xml:space="preserve">Refunds shall only be made in accordance with the Refund Policy and the </w:t>
      </w:r>
      <w:r w:rsidR="00627F7F">
        <w:t>Scheme of Delegated</w:t>
      </w:r>
      <w:r w:rsidRPr="001025FE">
        <w:t xml:space="preserve"> Financial Authorities set out in Appendix A.</w:t>
      </w:r>
    </w:p>
    <w:p w14:paraId="584B1E70" w14:textId="77F1DFA1" w:rsidR="00F72C3B" w:rsidRPr="001025FE" w:rsidRDefault="00F72C3B" w:rsidP="00D65442">
      <w:pPr>
        <w:pStyle w:val="Heading3"/>
      </w:pPr>
      <w:r w:rsidRPr="001025FE">
        <w:t xml:space="preserve">Debts can only be written off in accordance with the </w:t>
      </w:r>
      <w:r w:rsidR="00627F7F">
        <w:t>Scheme of Delegated</w:t>
      </w:r>
      <w:r w:rsidRPr="001025FE">
        <w:t xml:space="preserve"> Financial Authorities set out in Appendix A.</w:t>
      </w:r>
    </w:p>
    <w:p w14:paraId="54DB9ACF" w14:textId="77777777" w:rsidR="00F72C3B" w:rsidRDefault="00F72C3B" w:rsidP="00152C32">
      <w:pPr>
        <w:pStyle w:val="Heading2"/>
        <w:numPr>
          <w:ilvl w:val="0"/>
          <w:numId w:val="0"/>
        </w:numPr>
      </w:pPr>
    </w:p>
    <w:p w14:paraId="3D920B68" w14:textId="77777777" w:rsidR="00621EA3" w:rsidRPr="00621EA3" w:rsidRDefault="00621EA3" w:rsidP="00621EA3"/>
    <w:p w14:paraId="07CED52A" w14:textId="77777777" w:rsidR="00F72C3B" w:rsidRPr="001025FE" w:rsidRDefault="00F72C3B" w:rsidP="00254DFF">
      <w:pPr>
        <w:pStyle w:val="Heading2"/>
      </w:pPr>
      <w:r w:rsidRPr="001025FE">
        <w:t>Cash Income</w:t>
      </w:r>
      <w:bookmarkEnd w:id="54"/>
      <w:bookmarkEnd w:id="55"/>
    </w:p>
    <w:p w14:paraId="24D45732" w14:textId="77777777" w:rsidR="00F72C3B" w:rsidRPr="001025FE" w:rsidRDefault="00F72C3B" w:rsidP="00254DFF">
      <w:pPr>
        <w:pStyle w:val="Heading3"/>
      </w:pPr>
      <w:r w:rsidRPr="001025FE">
        <w:t>All cash received by the University must be recorded at source. Staff at designated collection points must prepare monies for banking and the appropriate paperwork should be forwarded promptly to the Finance Department in line with the University’s banking procedures. Cash should only be accepted at designated collection points (where till points and PDQ machines are located).</w:t>
      </w:r>
    </w:p>
    <w:p w14:paraId="0121CFB7" w14:textId="77777777" w:rsidR="00F72C3B" w:rsidRPr="001025FE" w:rsidRDefault="00F72C3B" w:rsidP="00254DFF">
      <w:pPr>
        <w:pStyle w:val="Heading3"/>
      </w:pPr>
      <w:r w:rsidRPr="001025FE">
        <w:t xml:space="preserve">Cash should not be sent through the internal post. Any losses incurred in this way will be required to be made good by the sender. </w:t>
      </w:r>
    </w:p>
    <w:p w14:paraId="092A5BF4" w14:textId="77777777" w:rsidR="00F72C3B" w:rsidRPr="001025FE" w:rsidRDefault="00F72C3B" w:rsidP="00254DFF">
      <w:pPr>
        <w:pStyle w:val="Heading3"/>
      </w:pPr>
      <w:r w:rsidRPr="001025FE">
        <w:t xml:space="preserve">All cash income must be held securely within insurance limits. </w:t>
      </w:r>
    </w:p>
    <w:p w14:paraId="39164329" w14:textId="77777777" w:rsidR="00F72C3B" w:rsidRPr="001025FE" w:rsidRDefault="00F72C3B" w:rsidP="00254DFF">
      <w:pPr>
        <w:pStyle w:val="Heading3"/>
      </w:pPr>
      <w:r w:rsidRPr="001025FE">
        <w:t>Cash received should not be diverted for expenditure or used for the encashment of personal cheques or for loans. All income must be promptly paid intact to the Finance Department or the University's bank account.</w:t>
      </w:r>
    </w:p>
    <w:p w14:paraId="261B3E9F" w14:textId="77777777" w:rsidR="00F72C3B" w:rsidRPr="001025FE" w:rsidRDefault="00F72C3B" w:rsidP="00254DFF">
      <w:pPr>
        <w:pStyle w:val="Heading3"/>
      </w:pPr>
      <w:r w:rsidRPr="001025FE">
        <w:rPr>
          <w:rFonts w:cs="Arial"/>
          <w:szCs w:val="22"/>
        </w:rPr>
        <w:t>Colleges and Professional Service Departments are not permitted to operate petty cash floats unless specifically approved by the Chief Finance Officer.</w:t>
      </w:r>
      <w:r w:rsidRPr="001025FE">
        <w:t xml:space="preserve"> </w:t>
      </w:r>
    </w:p>
    <w:p w14:paraId="7E3E16E6" w14:textId="77777777" w:rsidR="00F72C3B" w:rsidRPr="001025FE" w:rsidRDefault="00F72C3B" w:rsidP="006036F7"/>
    <w:p w14:paraId="2F017E26" w14:textId="77777777" w:rsidR="00F72C3B" w:rsidRPr="001025FE" w:rsidRDefault="00F72C3B" w:rsidP="00246AC6">
      <w:pPr>
        <w:pStyle w:val="Heading2"/>
      </w:pPr>
      <w:bookmarkStart w:id="56" w:name="_Toc379892905"/>
      <w:bookmarkStart w:id="57" w:name="_Toc379893012"/>
      <w:r w:rsidRPr="001025FE">
        <w:t>Fundraising and Gifts Received</w:t>
      </w:r>
      <w:bookmarkEnd w:id="56"/>
      <w:bookmarkEnd w:id="57"/>
    </w:p>
    <w:p w14:paraId="675156BD" w14:textId="77777777" w:rsidR="00F72C3B" w:rsidRPr="001025FE" w:rsidRDefault="00F72C3B" w:rsidP="00550DD9">
      <w:pPr>
        <w:pStyle w:val="Heading3"/>
      </w:pPr>
      <w:r w:rsidRPr="001025FE">
        <w:t>The Chief Finance Officer is responsible for maintaining financial records in respect of gifts, benefactions and donations made to the University and initiating claims for recovery of tax where appropriate.</w:t>
      </w:r>
    </w:p>
    <w:p w14:paraId="36796FD2" w14:textId="77777777" w:rsidR="00F72C3B" w:rsidRPr="001025FE" w:rsidRDefault="00F72C3B" w:rsidP="00550DD9">
      <w:pPr>
        <w:pStyle w:val="Heading3"/>
      </w:pPr>
      <w:r w:rsidRPr="001025FE">
        <w:t>The Development Office is responsible for ensuring that all gifts, benefactions and donations are operated within any relevant legislation and any individual specific requirement.</w:t>
      </w:r>
    </w:p>
    <w:p w14:paraId="6BC398FD" w14:textId="77777777" w:rsidR="00F72C3B" w:rsidRPr="001025FE" w:rsidRDefault="00F72C3B" w:rsidP="00152C32">
      <w:pPr>
        <w:pStyle w:val="Heading2"/>
        <w:numPr>
          <w:ilvl w:val="0"/>
          <w:numId w:val="0"/>
        </w:numPr>
      </w:pPr>
      <w:bookmarkStart w:id="58" w:name="_Toc379892906"/>
      <w:bookmarkStart w:id="59" w:name="_Toc379893013"/>
    </w:p>
    <w:p w14:paraId="49D1099C" w14:textId="77777777" w:rsidR="00F72C3B" w:rsidRPr="001025FE" w:rsidRDefault="00F72C3B" w:rsidP="00E60DD3">
      <w:pPr>
        <w:pStyle w:val="Heading2"/>
      </w:pPr>
      <w:r w:rsidRPr="001025FE">
        <w:t>Student Welfare and Access Funds</w:t>
      </w:r>
    </w:p>
    <w:p w14:paraId="736A8E7E" w14:textId="77777777" w:rsidR="00F72C3B" w:rsidRPr="001025FE" w:rsidRDefault="00F72C3B" w:rsidP="00E60DD3">
      <w:pPr>
        <w:pStyle w:val="Heading3"/>
      </w:pPr>
      <w:r w:rsidRPr="001025FE">
        <w:t>The Chief Finance Officer is responsible for prescribing the system for the recording of student welfare and access funds.</w:t>
      </w:r>
    </w:p>
    <w:p w14:paraId="59E97C65" w14:textId="77777777" w:rsidR="00F72C3B" w:rsidRPr="001025FE" w:rsidRDefault="00F72C3B" w:rsidP="00E60DD3">
      <w:pPr>
        <w:pStyle w:val="Heading3"/>
      </w:pPr>
      <w:r w:rsidRPr="001025FE">
        <w:t>Student Affairs are responsible for maintaining accurate financial records in respect of student welfare and access funds and reporting to HEFCE in accordance with their requirements.</w:t>
      </w:r>
    </w:p>
    <w:p w14:paraId="6D561C02" w14:textId="77777777" w:rsidR="00F72C3B" w:rsidRPr="001025FE" w:rsidRDefault="00F72C3B" w:rsidP="00E60DD3"/>
    <w:p w14:paraId="1B7D7975" w14:textId="77777777" w:rsidR="00F72C3B" w:rsidRPr="001025FE" w:rsidRDefault="00F72C3B" w:rsidP="00246AC6">
      <w:pPr>
        <w:pStyle w:val="Heading2"/>
      </w:pPr>
      <w:r w:rsidRPr="001025FE">
        <w:t>Private Work and Other Appointments</w:t>
      </w:r>
      <w:bookmarkEnd w:id="58"/>
      <w:bookmarkEnd w:id="59"/>
    </w:p>
    <w:p w14:paraId="37A93361" w14:textId="77777777" w:rsidR="00F72C3B" w:rsidRPr="001025FE" w:rsidRDefault="00F72C3B" w:rsidP="002536F0">
      <w:pPr>
        <w:pStyle w:val="Heading3"/>
      </w:pPr>
      <w:r w:rsidRPr="001025FE">
        <w:t>Unless otherwise stated in an employee’s contract outside consultancies or other paid work may not be accepted without the written consent of the Head of College or Head of Professional Service (and in the case of the Head of College or Director of Professional Service, the Vice Chancellor).</w:t>
      </w:r>
    </w:p>
    <w:p w14:paraId="7124DAB7" w14:textId="77777777" w:rsidR="00F72C3B" w:rsidRPr="001025FE" w:rsidRDefault="00F72C3B" w:rsidP="002536F0">
      <w:pPr>
        <w:pStyle w:val="Heading3"/>
      </w:pPr>
      <w:r w:rsidRPr="001025FE">
        <w:rPr>
          <w:rFonts w:cs="Arial"/>
          <w:szCs w:val="22"/>
        </w:rPr>
        <w:t>Applications for permission to undertake work as a purely private activity must be submitted to the Head of College/ Professional Service or Vice Chancellor, as appropriate</w:t>
      </w:r>
      <w:r w:rsidRPr="001025FE">
        <w:rPr>
          <w:color w:val="000000"/>
          <w:szCs w:val="22"/>
        </w:rPr>
        <w:t>.</w:t>
      </w:r>
    </w:p>
    <w:p w14:paraId="2DE78D73" w14:textId="77777777" w:rsidR="00F72C3B" w:rsidRPr="001025FE" w:rsidRDefault="00F72C3B" w:rsidP="00152C32">
      <w:pPr>
        <w:widowControl w:val="0"/>
        <w:autoSpaceDE w:val="0"/>
        <w:autoSpaceDN w:val="0"/>
        <w:adjustRightInd w:val="0"/>
        <w:spacing w:before="70" w:after="0" w:line="300" w:lineRule="atLeast"/>
        <w:textAlignment w:val="baseline"/>
        <w:rPr>
          <w:color w:val="000000"/>
          <w:szCs w:val="22"/>
        </w:rPr>
      </w:pPr>
    </w:p>
    <w:p w14:paraId="272A4F11" w14:textId="77777777" w:rsidR="00F72C3B" w:rsidRPr="001025FE" w:rsidRDefault="00F72C3B" w:rsidP="00152C32">
      <w:pPr>
        <w:pStyle w:val="Heading2"/>
      </w:pPr>
      <w:bookmarkStart w:id="60" w:name="_Toc379892907"/>
      <w:bookmarkStart w:id="61" w:name="_Toc379893014"/>
      <w:r w:rsidRPr="001025FE">
        <w:t>Subsidiaries, Joint Ventures and Associated Companies</w:t>
      </w:r>
      <w:bookmarkEnd w:id="60"/>
      <w:bookmarkEnd w:id="61"/>
    </w:p>
    <w:p w14:paraId="0685D28E" w14:textId="77777777" w:rsidR="003F7586" w:rsidRPr="001025FE" w:rsidRDefault="003F7586" w:rsidP="003F7586">
      <w:pPr>
        <w:pStyle w:val="Heading3"/>
      </w:pPr>
      <w:r w:rsidRPr="001025FE">
        <w:t xml:space="preserve">Investments in and disposals of subsidiaries, joint ventures and associated companies (including spin-outs companies) shall be approved by the Board of Governors. The Board of Governors may </w:t>
      </w:r>
      <w:r>
        <w:t xml:space="preserve">formally </w:t>
      </w:r>
      <w:r w:rsidRPr="001025FE">
        <w:t xml:space="preserve">delegate this responsibility to the Senior </w:t>
      </w:r>
      <w:r>
        <w:t>Leadership</w:t>
      </w:r>
      <w:r w:rsidRPr="001025FE">
        <w:t xml:space="preserve"> Team </w:t>
      </w:r>
      <w:r>
        <w:t>but must ensure compliance with Element 5 of the CUC Code of HE Governance</w:t>
      </w:r>
      <w:r w:rsidRPr="001025FE">
        <w:t>. Where this responsibility is delegated</w:t>
      </w:r>
      <w:r>
        <w:t>,</w:t>
      </w:r>
      <w:r w:rsidRPr="001025FE">
        <w:t xml:space="preserve"> the Senior </w:t>
      </w:r>
      <w:r>
        <w:t>Leadership</w:t>
      </w:r>
      <w:r w:rsidRPr="001025FE">
        <w:t xml:space="preserve"> Team </w:t>
      </w:r>
      <w:r>
        <w:t>shall</w:t>
      </w:r>
      <w:r w:rsidRPr="001025FE">
        <w:t xml:space="preserve"> provide regular updates to the Board of Governors on such activities and their progress.</w:t>
      </w:r>
    </w:p>
    <w:p w14:paraId="56EB3D45" w14:textId="77777777" w:rsidR="003F7586" w:rsidRDefault="003F7586" w:rsidP="003F7586">
      <w:pPr>
        <w:pStyle w:val="Heading3"/>
      </w:pPr>
      <w:r>
        <w:t>All University appointees to the boards of such subsidiaries, joint ventures and associated companies shall be approved by the Board of Governors.</w:t>
      </w:r>
    </w:p>
    <w:p w14:paraId="199A55F0" w14:textId="067F482A" w:rsidR="003F7586" w:rsidRDefault="003F7586" w:rsidP="003F7586">
      <w:pPr>
        <w:pStyle w:val="Heading3"/>
      </w:pPr>
      <w:r>
        <w:t xml:space="preserve">For each company </w:t>
      </w:r>
      <w:r w:rsidR="00B13374">
        <w:t>which</w:t>
      </w:r>
      <w:r>
        <w:t xml:space="preserve"> the University is a majority shareholder, the board of directors shall submit an annual report to the Board of Governors.</w:t>
      </w:r>
    </w:p>
    <w:p w14:paraId="50DF91CF" w14:textId="77777777" w:rsidR="003F7586" w:rsidRPr="001025FE" w:rsidRDefault="003F7586" w:rsidP="003F7586">
      <w:pPr>
        <w:pStyle w:val="Heading3"/>
      </w:pPr>
      <w:r w:rsidRPr="001025FE">
        <w:t xml:space="preserve">Contracts in respect of the above may only be made by persons acting under the authority of the Board of Governors within the parameters defined in the </w:t>
      </w:r>
      <w:r>
        <w:t>Scheme of Delegated</w:t>
      </w:r>
      <w:r w:rsidRPr="001025FE">
        <w:t xml:space="preserve"> Financial Authorities (as set out in Appendix A). </w:t>
      </w:r>
    </w:p>
    <w:p w14:paraId="2BE97FD4" w14:textId="77777777" w:rsidR="003F7586" w:rsidRPr="001025FE" w:rsidRDefault="003F7586" w:rsidP="003F7586">
      <w:pPr>
        <w:pStyle w:val="Heading3"/>
      </w:pPr>
      <w:r w:rsidRPr="001025FE">
        <w:t xml:space="preserve">Separate accounting arrangements shall be established by the Chief Finance Officer for each subsidiary, joint venture or associated company, such that all transactions with the University are transparent and authorised in accordance with the </w:t>
      </w:r>
      <w:r>
        <w:t>Scheme of Delegated</w:t>
      </w:r>
      <w:r w:rsidRPr="001025FE">
        <w:t xml:space="preserve"> Financial Authorities. </w:t>
      </w:r>
    </w:p>
    <w:p w14:paraId="37D9A263" w14:textId="77777777" w:rsidR="003F7586" w:rsidRPr="001025FE" w:rsidRDefault="003F7586" w:rsidP="003F7586">
      <w:pPr>
        <w:pStyle w:val="Heading3"/>
      </w:pPr>
      <w:r w:rsidRPr="001025FE">
        <w:t>Funds from public sources shall not be used to subsidise the operation of subsidiary or associated companies.</w:t>
      </w:r>
    </w:p>
    <w:p w14:paraId="3337768C" w14:textId="77777777" w:rsidR="003F7586" w:rsidRPr="001025FE" w:rsidRDefault="003F7586" w:rsidP="003F7586">
      <w:pPr>
        <w:pStyle w:val="Heading3"/>
      </w:pPr>
      <w:r w:rsidRPr="001025FE">
        <w:t xml:space="preserve">Any new aspect of business, other than teaching and research activities, requiring an investment up to £100,000 in buildings, resources or staff time should be presented for approval to the Senior </w:t>
      </w:r>
      <w:r>
        <w:t>Leadership</w:t>
      </w:r>
      <w:r w:rsidRPr="001025FE">
        <w:t xml:space="preserve"> Team. Any investments over £100,000 must be approved by the Board of Governors.</w:t>
      </w:r>
    </w:p>
    <w:p w14:paraId="6C4FD9CB" w14:textId="77777777" w:rsidR="00F72C3B" w:rsidRPr="001025FE" w:rsidRDefault="00F72C3B" w:rsidP="00152C32">
      <w:pPr>
        <w:widowControl w:val="0"/>
        <w:autoSpaceDE w:val="0"/>
        <w:autoSpaceDN w:val="0"/>
        <w:adjustRightInd w:val="0"/>
        <w:spacing w:before="70" w:after="0" w:line="300" w:lineRule="atLeast"/>
        <w:textAlignment w:val="baseline"/>
        <w:rPr>
          <w:rFonts w:cs="Arial"/>
          <w:szCs w:val="22"/>
        </w:rPr>
      </w:pPr>
    </w:p>
    <w:p w14:paraId="4E6338C8" w14:textId="77777777" w:rsidR="00F72C3B" w:rsidRPr="001025FE" w:rsidRDefault="00F72C3B" w:rsidP="00A42CA8">
      <w:pPr>
        <w:widowControl w:val="0"/>
        <w:autoSpaceDE w:val="0"/>
        <w:autoSpaceDN w:val="0"/>
        <w:adjustRightInd w:val="0"/>
        <w:spacing w:before="70" w:after="0" w:line="300" w:lineRule="atLeast"/>
        <w:textAlignment w:val="baseline"/>
        <w:rPr>
          <w:color w:val="000000"/>
          <w:szCs w:val="22"/>
        </w:rPr>
      </w:pPr>
    </w:p>
    <w:p w14:paraId="4F863596" w14:textId="77777777" w:rsidR="00F72C3B" w:rsidRPr="001025FE" w:rsidRDefault="00F72C3B" w:rsidP="00246AC6">
      <w:pPr>
        <w:pStyle w:val="Heading1"/>
      </w:pPr>
      <w:bookmarkStart w:id="62" w:name="_Toc379892908"/>
      <w:bookmarkStart w:id="63" w:name="_Toc379893015"/>
      <w:r w:rsidRPr="001025FE">
        <w:t>Expenditure and Creditors</w:t>
      </w:r>
      <w:bookmarkEnd w:id="62"/>
      <w:bookmarkEnd w:id="63"/>
    </w:p>
    <w:p w14:paraId="6AC288AB" w14:textId="77777777" w:rsidR="00F72C3B" w:rsidRPr="001025FE" w:rsidRDefault="00F72C3B" w:rsidP="00152C32">
      <w:pPr>
        <w:pStyle w:val="Heading2"/>
        <w:numPr>
          <w:ilvl w:val="0"/>
          <w:numId w:val="0"/>
        </w:numPr>
      </w:pPr>
      <w:bookmarkStart w:id="64" w:name="_Toc379892909"/>
      <w:bookmarkStart w:id="65" w:name="_Toc379893016"/>
    </w:p>
    <w:p w14:paraId="4401E568" w14:textId="77777777" w:rsidR="00F72C3B" w:rsidRPr="001025FE" w:rsidRDefault="00F72C3B" w:rsidP="00246AC6">
      <w:pPr>
        <w:pStyle w:val="Heading2"/>
      </w:pPr>
      <w:r w:rsidRPr="001025FE">
        <w:t>Ordering and Payment of Goods and Services</w:t>
      </w:r>
      <w:bookmarkEnd w:id="64"/>
      <w:bookmarkEnd w:id="65"/>
    </w:p>
    <w:p w14:paraId="17CAA618" w14:textId="77777777" w:rsidR="00F72C3B" w:rsidRPr="001025FE" w:rsidRDefault="00F72C3B" w:rsidP="00891865">
      <w:pPr>
        <w:pStyle w:val="Heading3"/>
      </w:pPr>
      <w:r w:rsidRPr="001025FE">
        <w:t xml:space="preserve">Orders shall only be placed in accordance with the University Procurement Policy, unless the Head of Procurement &amp; Purchasing has granted specific dispensation. </w:t>
      </w:r>
    </w:p>
    <w:p w14:paraId="54529BFE" w14:textId="77777777" w:rsidR="00F72C3B" w:rsidRPr="001025FE" w:rsidRDefault="00F72C3B" w:rsidP="00152C32">
      <w:pPr>
        <w:pStyle w:val="Heading3"/>
      </w:pPr>
      <w:r w:rsidRPr="001025FE">
        <w:t xml:space="preserve">No officer or employee of the University shall requisition work to be undertaken or goods to be supplied which are outside of their authority as defined by the Schedule of Financial Delegated Authorities. </w:t>
      </w:r>
    </w:p>
    <w:p w14:paraId="00373EBC" w14:textId="77777777" w:rsidR="00F72C3B" w:rsidRPr="001025FE" w:rsidRDefault="00F72C3B" w:rsidP="00891865">
      <w:pPr>
        <w:pStyle w:val="Heading3"/>
      </w:pPr>
      <w:r w:rsidRPr="001025FE">
        <w:t>No officer or employee of the University shall requisition work to be undertaken or goods to be supplied which cannot be funded from within the relevant allocated budget.</w:t>
      </w:r>
    </w:p>
    <w:p w14:paraId="626E7581" w14:textId="77777777" w:rsidR="00F72C3B" w:rsidRPr="001025FE" w:rsidRDefault="00F72C3B" w:rsidP="00891865">
      <w:pPr>
        <w:pStyle w:val="Heading3"/>
      </w:pPr>
      <w:r w:rsidRPr="001025FE">
        <w:t>Officers and employees shall not make use of official orders or University funds to obtain goods and services for private purposes.</w:t>
      </w:r>
    </w:p>
    <w:p w14:paraId="429ED372" w14:textId="77777777" w:rsidR="00F72C3B" w:rsidRPr="001025FE" w:rsidRDefault="00F72C3B" w:rsidP="00DC41A2">
      <w:pPr>
        <w:pStyle w:val="Heading3"/>
      </w:pPr>
      <w:r w:rsidRPr="001025FE">
        <w:t>Payment of suppliers is controlled by the Chief Finance Officer and in accordance with Finance Department policies and procedures.</w:t>
      </w:r>
    </w:p>
    <w:p w14:paraId="62228EC2" w14:textId="77777777" w:rsidR="00F72C3B" w:rsidRPr="001025FE" w:rsidRDefault="00F72C3B" w:rsidP="00152C32">
      <w:pPr>
        <w:pStyle w:val="Heading2"/>
        <w:numPr>
          <w:ilvl w:val="0"/>
          <w:numId w:val="0"/>
        </w:numPr>
      </w:pPr>
      <w:bookmarkStart w:id="66" w:name="_Toc379892910"/>
      <w:bookmarkStart w:id="67" w:name="_Toc379893017"/>
    </w:p>
    <w:p w14:paraId="62CB9A37" w14:textId="77777777" w:rsidR="00F72C3B" w:rsidRPr="001025FE" w:rsidRDefault="00F72C3B" w:rsidP="00246AC6">
      <w:pPr>
        <w:pStyle w:val="Heading2"/>
      </w:pPr>
      <w:r w:rsidRPr="001025FE">
        <w:t>Non-Pay Revenue Expenditure</w:t>
      </w:r>
      <w:bookmarkEnd w:id="66"/>
      <w:bookmarkEnd w:id="67"/>
    </w:p>
    <w:p w14:paraId="37E825D8" w14:textId="77F26AD6" w:rsidR="00F72C3B" w:rsidRPr="001025FE" w:rsidRDefault="00F72C3B" w:rsidP="00891865">
      <w:pPr>
        <w:pStyle w:val="Heading3"/>
      </w:pPr>
      <w:r w:rsidRPr="001025FE">
        <w:t xml:space="preserve">Heads of Professional Service/College are responsible for containing expenditure within the allocated budget. In exercising this responsibility they have discretion to delegate to other members of staff within the budget unit. Delegated authority should not exceed the levels specified in the </w:t>
      </w:r>
      <w:r w:rsidR="00627F7F">
        <w:t>Scheme of Delegated</w:t>
      </w:r>
      <w:r w:rsidRPr="001025FE">
        <w:t xml:space="preserve"> Financial Authorities. </w:t>
      </w:r>
    </w:p>
    <w:p w14:paraId="60009E97" w14:textId="77777777" w:rsidR="00F72C3B" w:rsidRPr="001025FE" w:rsidRDefault="00F72C3B" w:rsidP="00CB0E38">
      <w:pPr>
        <w:pStyle w:val="Heading3"/>
      </w:pPr>
      <w:r w:rsidRPr="001025FE">
        <w:t xml:space="preserve">Where it is anticipated that the budget allocated to the Head of College/Professional Service may be overspent or the agreed amount of any income may not be reached by more than 5% of budget, it is the duty of the Head of College/Professional Service to inform the Chief Finance Officer immediately. </w:t>
      </w:r>
    </w:p>
    <w:p w14:paraId="12D0FFDE" w14:textId="77777777" w:rsidR="00F72C3B" w:rsidRPr="001025FE" w:rsidRDefault="00F72C3B" w:rsidP="00C35DD9">
      <w:pPr>
        <w:pStyle w:val="Heading3"/>
      </w:pPr>
      <w:r w:rsidRPr="001025FE">
        <w:t>Unspent revenue budgets may not be carried forward from one accounting period to the next unless specifically approved by the Chief Finance Officer.</w:t>
      </w:r>
    </w:p>
    <w:p w14:paraId="76F4A889" w14:textId="6454B7C3" w:rsidR="00F72C3B" w:rsidRPr="001025FE" w:rsidRDefault="00F72C3B" w:rsidP="00C35DD9">
      <w:pPr>
        <w:pStyle w:val="Heading3"/>
      </w:pPr>
      <w:r w:rsidRPr="001025FE">
        <w:t xml:space="preserve">The entering in to leasing agreements and any other continuing liability (exceeding one year) should follow the rules set out under Section 3.4 (Contracts) and the </w:t>
      </w:r>
      <w:r w:rsidR="00627F7F">
        <w:t>Scheme of Delegated</w:t>
      </w:r>
      <w:r w:rsidRPr="001025FE">
        <w:t xml:space="preserve"> Financial Authorities within these Financial Regulations. </w:t>
      </w:r>
    </w:p>
    <w:p w14:paraId="22F27526" w14:textId="77777777" w:rsidR="00F72C3B" w:rsidRPr="001025FE" w:rsidRDefault="00F72C3B" w:rsidP="00C35DD9">
      <w:pPr>
        <w:pStyle w:val="Heading3"/>
      </w:pPr>
      <w:r w:rsidRPr="001025FE">
        <w:t>Any rental or leasing contracts for land or buildings that exceed three years in length should be approved by the Board of Governors.</w:t>
      </w:r>
    </w:p>
    <w:p w14:paraId="4A850381" w14:textId="77777777" w:rsidR="00F72C3B" w:rsidRPr="001025FE" w:rsidRDefault="00F72C3B" w:rsidP="00152C32">
      <w:pPr>
        <w:pStyle w:val="Heading2"/>
        <w:numPr>
          <w:ilvl w:val="0"/>
          <w:numId w:val="0"/>
        </w:numPr>
      </w:pPr>
      <w:bookmarkStart w:id="68" w:name="_Toc379892911"/>
      <w:bookmarkStart w:id="69" w:name="_Toc379893018"/>
    </w:p>
    <w:p w14:paraId="6BE43763" w14:textId="77777777" w:rsidR="00F72C3B" w:rsidRPr="001025FE" w:rsidRDefault="00F72C3B" w:rsidP="00152C32">
      <w:pPr>
        <w:pStyle w:val="Heading2"/>
      </w:pPr>
      <w:r w:rsidRPr="001025FE">
        <w:t>Capital Expenditure</w:t>
      </w:r>
      <w:bookmarkEnd w:id="68"/>
      <w:bookmarkEnd w:id="69"/>
    </w:p>
    <w:p w14:paraId="2D2DD4C4" w14:textId="77777777" w:rsidR="00F72C3B" w:rsidRPr="001025FE" w:rsidRDefault="00F72C3B" w:rsidP="007C0E73">
      <w:pPr>
        <w:pStyle w:val="Heading3"/>
      </w:pPr>
      <w:r w:rsidRPr="001025FE">
        <w:t>The University shall not commit to buying, developing or constructing any land or buildings without the approval of Board of Governors.</w:t>
      </w:r>
    </w:p>
    <w:p w14:paraId="52482A29" w14:textId="77777777" w:rsidR="00F72C3B" w:rsidRPr="001025FE" w:rsidRDefault="00F72C3B" w:rsidP="008B6612">
      <w:pPr>
        <w:pStyle w:val="Heading3"/>
      </w:pPr>
      <w:r w:rsidRPr="001025FE">
        <w:t xml:space="preserve">Capital expenditure proposals shall be approved by the Board of Governors in accordance with the University Five Year Plan and shall be evaluated using investment appraisal techniques. </w:t>
      </w:r>
    </w:p>
    <w:p w14:paraId="35864142" w14:textId="77777777" w:rsidR="00F72C3B" w:rsidRPr="001025FE" w:rsidRDefault="00F72C3B" w:rsidP="00891865">
      <w:pPr>
        <w:pStyle w:val="Heading3"/>
      </w:pPr>
      <w:r w:rsidRPr="001025FE">
        <w:t>Capital contracts shall be subject to competitive tendering procedures as required by the University Procurement Policy and comply with the relevant EU Procurement directives and any provisions required by capital grant donors.</w:t>
      </w:r>
    </w:p>
    <w:p w14:paraId="7A825D0F" w14:textId="77777777" w:rsidR="00F72C3B" w:rsidRPr="001025FE" w:rsidRDefault="00F72C3B" w:rsidP="00891865">
      <w:pPr>
        <w:pStyle w:val="Heading3"/>
      </w:pPr>
      <w:r w:rsidRPr="001025FE">
        <w:t xml:space="preserve">The Director of Estates &amp; Commercial Facilities is responsible for the management and monitoring of all fixed asset developments together with the on-going maintenance of fixed assets. All alterations and extensions to University buildings shall be controlled by Estates &amp; Commercial Facilities. </w:t>
      </w:r>
    </w:p>
    <w:p w14:paraId="763911B7" w14:textId="175788BC" w:rsidR="00F72C3B" w:rsidRPr="001025FE" w:rsidRDefault="00F72C3B" w:rsidP="00891865">
      <w:pPr>
        <w:pStyle w:val="Heading3"/>
      </w:pPr>
      <w:proofErr w:type="spellStart"/>
      <w:r w:rsidRPr="001025FE">
        <w:t>Virements</w:t>
      </w:r>
      <w:proofErr w:type="spellEnd"/>
      <w:r w:rsidRPr="001025FE">
        <w:t xml:space="preserve"> between individual capital projects and between capital and revenue budgets shall be approved as set out in the </w:t>
      </w:r>
      <w:r w:rsidR="00627F7F">
        <w:t>Scheme of Delegated</w:t>
      </w:r>
      <w:r w:rsidRPr="001025FE">
        <w:t xml:space="preserve"> Financial Authorities.</w:t>
      </w:r>
    </w:p>
    <w:p w14:paraId="066990B2" w14:textId="77777777" w:rsidR="00F72C3B" w:rsidRPr="001025FE" w:rsidRDefault="00F72C3B" w:rsidP="00891865">
      <w:pPr>
        <w:pStyle w:val="Heading3"/>
      </w:pPr>
      <w:r w:rsidRPr="001025FE">
        <w:t>Post-completion appraisals shall be provided by the Director of Estates &amp; Commercial Facilities to the Board of Governors as soon as practicable after completion for all projects of more than £2m.</w:t>
      </w:r>
    </w:p>
    <w:p w14:paraId="1AE0AFD8" w14:textId="77777777" w:rsidR="00F72C3B" w:rsidRPr="001025FE" w:rsidRDefault="00F72C3B" w:rsidP="00152C32">
      <w:pPr>
        <w:pStyle w:val="Heading2"/>
        <w:numPr>
          <w:ilvl w:val="0"/>
          <w:numId w:val="0"/>
        </w:numPr>
      </w:pPr>
      <w:bookmarkStart w:id="70" w:name="_Toc379892912"/>
      <w:bookmarkStart w:id="71" w:name="_Toc379893019"/>
    </w:p>
    <w:p w14:paraId="38C6A745" w14:textId="77777777" w:rsidR="00F72C3B" w:rsidRPr="001025FE" w:rsidRDefault="00F72C3B" w:rsidP="00246AC6">
      <w:pPr>
        <w:pStyle w:val="Heading2"/>
      </w:pPr>
      <w:r w:rsidRPr="001025FE">
        <w:t>Appointment and Payments to Employees</w:t>
      </w:r>
      <w:bookmarkEnd w:id="70"/>
      <w:bookmarkEnd w:id="71"/>
    </w:p>
    <w:p w14:paraId="380BC594" w14:textId="4F2C7F53" w:rsidR="00F72C3B" w:rsidRPr="001025FE" w:rsidRDefault="00F72C3B" w:rsidP="00891865">
      <w:pPr>
        <w:pStyle w:val="Heading3"/>
      </w:pPr>
      <w:r w:rsidRPr="001025FE">
        <w:t>Employees</w:t>
      </w:r>
      <w:r w:rsidR="00001522" w:rsidRPr="001025FE">
        <w:t xml:space="preserve">, including members of the </w:t>
      </w:r>
      <w:r w:rsidR="003F7586">
        <w:t>Senior Leadership Team</w:t>
      </w:r>
      <w:r w:rsidR="00001522" w:rsidRPr="001025FE">
        <w:t xml:space="preserve"> who are appointed by the Board of Governors,</w:t>
      </w:r>
      <w:r w:rsidRPr="001025FE">
        <w:t xml:space="preserve"> may only be appointed in accordance with the procedures established by the Director of Human Resources. </w:t>
      </w:r>
    </w:p>
    <w:p w14:paraId="36A78B7E" w14:textId="77777777" w:rsidR="00F72C3B" w:rsidRPr="001025FE" w:rsidRDefault="00F72C3B" w:rsidP="00891865">
      <w:pPr>
        <w:pStyle w:val="Heading3"/>
      </w:pPr>
      <w:r w:rsidRPr="001025FE">
        <w:t xml:space="preserve">The payment of salaries and wages and other emoluments shall be made by the Director of Human Resources or under arrangements approved and controlled by them. </w:t>
      </w:r>
    </w:p>
    <w:p w14:paraId="549F3A9D" w14:textId="77777777" w:rsidR="00F72C3B" w:rsidRPr="001025FE" w:rsidRDefault="00F72C3B" w:rsidP="00891865">
      <w:pPr>
        <w:pStyle w:val="Heading3"/>
      </w:pPr>
      <w:r w:rsidRPr="001025FE">
        <w:t>All payments to employees shall be processed by the Human Resources Department.</w:t>
      </w:r>
    </w:p>
    <w:p w14:paraId="7B986AB4" w14:textId="77777777" w:rsidR="00F72C3B" w:rsidRPr="001025FE" w:rsidRDefault="00F72C3B" w:rsidP="00891865">
      <w:pPr>
        <w:pStyle w:val="Heading3"/>
      </w:pPr>
      <w:r w:rsidRPr="001025FE">
        <w:t>The Director of Human Resources is responsible for all payroll deduction payments and for informing the appropriate authorities of such payments.</w:t>
      </w:r>
    </w:p>
    <w:p w14:paraId="21427B25" w14:textId="77777777" w:rsidR="00F72C3B" w:rsidRPr="001025FE" w:rsidRDefault="00F72C3B" w:rsidP="00891865">
      <w:pPr>
        <w:pStyle w:val="Heading3"/>
      </w:pPr>
      <w:r w:rsidRPr="001025FE">
        <w:t xml:space="preserve">All </w:t>
      </w:r>
      <w:bookmarkStart w:id="72" w:name="OLE_LINK6"/>
      <w:bookmarkStart w:id="73" w:name="OLE_LINK7"/>
      <w:r w:rsidRPr="001025FE">
        <w:t>expense claims shall be submitted in accordance with the appropriate University Expenses Policy. Where an officer or employee has been issued with a University Expense card this must be operated in full accordance with the Expense Card Policy.</w:t>
      </w:r>
      <w:bookmarkEnd w:id="72"/>
      <w:bookmarkEnd w:id="73"/>
      <w:r w:rsidRPr="001025FE">
        <w:t xml:space="preserve"> </w:t>
      </w:r>
    </w:p>
    <w:p w14:paraId="0E7B08BF" w14:textId="791D6C2A" w:rsidR="00F72C3B" w:rsidRPr="001025FE" w:rsidRDefault="00F72C3B" w:rsidP="00891865">
      <w:pPr>
        <w:pStyle w:val="Heading3"/>
      </w:pPr>
      <w:r w:rsidRPr="001025FE">
        <w:t xml:space="preserve">Severance payments shall only be made in accordance with relevant legislation and under a scheme or a proposal approved by the </w:t>
      </w:r>
      <w:r w:rsidR="003F7586">
        <w:t>Senior Leadership Team</w:t>
      </w:r>
      <w:r w:rsidRPr="001025FE">
        <w:t xml:space="preserve"> under the oversight of the Remuneration Committee. All such payments shall be approved in accordance with the </w:t>
      </w:r>
      <w:r w:rsidR="00627F7F">
        <w:t>Scheme of Delegated</w:t>
      </w:r>
      <w:r w:rsidRPr="001025FE">
        <w:t xml:space="preserve"> Financial Authority.</w:t>
      </w:r>
    </w:p>
    <w:p w14:paraId="210B33BF" w14:textId="77777777" w:rsidR="00931241" w:rsidRPr="001025FE" w:rsidRDefault="00F72C3B" w:rsidP="00931241">
      <w:pPr>
        <w:pStyle w:val="Heading3"/>
      </w:pPr>
      <w:r w:rsidRPr="001025FE">
        <w:t>The Board of Governors is responsible for undertaking the role of employer in relation to appropriate pension arrangements for employee. The Director of Human Resources is responsible for day-to-day superannuation matters including the payment of contributions to various authorised superannuation schemes, administering eligibility and preparing the annual return to various superannuation schemes.</w:t>
      </w:r>
    </w:p>
    <w:p w14:paraId="45CCEE3E" w14:textId="77777777" w:rsidR="00931241" w:rsidRPr="001025FE" w:rsidRDefault="00931241" w:rsidP="00066569">
      <w:pPr>
        <w:pStyle w:val="Heading3"/>
      </w:pPr>
      <w:r w:rsidRPr="001025FE">
        <w:t>The Director of Human Resources is responsible for the Statement of Policy on the Local Government Pension Scheme.</w:t>
      </w:r>
    </w:p>
    <w:p w14:paraId="683746A7" w14:textId="1F4B4F78" w:rsidR="00F72C3B" w:rsidRPr="001025FE" w:rsidRDefault="00F72C3B" w:rsidP="00066569">
      <w:pPr>
        <w:pStyle w:val="Heading3"/>
      </w:pPr>
      <w:r w:rsidRPr="001025FE">
        <w:t>All matters regarding pension scheme accounting and pension scheme valuation are the responsibility of the Chief Finance Officer.</w:t>
      </w:r>
    </w:p>
    <w:p w14:paraId="2B9E5C12" w14:textId="2098158E" w:rsidR="00F72C3B" w:rsidRPr="001025FE" w:rsidRDefault="00F72C3B" w:rsidP="00246AC6">
      <w:pPr>
        <w:pStyle w:val="Heading1"/>
      </w:pPr>
      <w:bookmarkStart w:id="74" w:name="_Toc378680940"/>
      <w:bookmarkStart w:id="75" w:name="_Toc379892913"/>
      <w:bookmarkStart w:id="76" w:name="_Toc379893020"/>
      <w:bookmarkEnd w:id="51"/>
      <w:r w:rsidRPr="001025FE">
        <w:t>Assets</w:t>
      </w:r>
      <w:bookmarkEnd w:id="74"/>
      <w:bookmarkEnd w:id="75"/>
      <w:bookmarkEnd w:id="76"/>
    </w:p>
    <w:p w14:paraId="753EEB7D" w14:textId="77777777" w:rsidR="00F72C3B" w:rsidRPr="001025FE" w:rsidRDefault="00F72C3B" w:rsidP="00152C32">
      <w:pPr>
        <w:pStyle w:val="Heading2"/>
        <w:numPr>
          <w:ilvl w:val="0"/>
          <w:numId w:val="0"/>
        </w:numPr>
      </w:pPr>
      <w:bookmarkStart w:id="77" w:name="_Toc378680941"/>
      <w:bookmarkStart w:id="78" w:name="_Toc379892914"/>
      <w:bookmarkStart w:id="79" w:name="_Toc379893021"/>
    </w:p>
    <w:p w14:paraId="09DD0928" w14:textId="77777777" w:rsidR="00F72C3B" w:rsidRPr="001025FE" w:rsidRDefault="00F72C3B" w:rsidP="00246AC6">
      <w:pPr>
        <w:pStyle w:val="Heading2"/>
      </w:pPr>
      <w:r w:rsidRPr="001025FE">
        <w:t xml:space="preserve">Physical </w:t>
      </w:r>
      <w:bookmarkEnd w:id="77"/>
      <w:bookmarkEnd w:id="78"/>
      <w:bookmarkEnd w:id="79"/>
      <w:r w:rsidRPr="001025FE">
        <w:t>Assets</w:t>
      </w:r>
    </w:p>
    <w:p w14:paraId="7FB508FC" w14:textId="77777777" w:rsidR="00F72C3B" w:rsidRPr="001025FE" w:rsidRDefault="00F72C3B" w:rsidP="00891865">
      <w:pPr>
        <w:pStyle w:val="Heading3"/>
      </w:pPr>
      <w:r w:rsidRPr="001025FE">
        <w:t>In this section the term ‘physical assets’ includes all capitalised fixed assets, inventories and stock.</w:t>
      </w:r>
    </w:p>
    <w:p w14:paraId="5F26BA5C" w14:textId="77777777" w:rsidR="00F72C3B" w:rsidRPr="001025FE" w:rsidRDefault="00F72C3B" w:rsidP="00233BBF">
      <w:pPr>
        <w:pStyle w:val="Heading3"/>
      </w:pPr>
      <w:r w:rsidRPr="001025FE">
        <w:t xml:space="preserve">Heads of College/Professional Service are responsible for ensuring the proper security of all physical assets under their control. </w:t>
      </w:r>
    </w:p>
    <w:p w14:paraId="6BC83D5A" w14:textId="77777777" w:rsidR="00F72C3B" w:rsidRPr="001025FE" w:rsidRDefault="00F72C3B" w:rsidP="00502D1D">
      <w:pPr>
        <w:pStyle w:val="Heading3"/>
      </w:pPr>
      <w:r w:rsidRPr="001025FE">
        <w:t xml:space="preserve">No University physical assets shall be subject to personal use without proper authority having been obtained from the Head of College/Professional Service. </w:t>
      </w:r>
    </w:p>
    <w:p w14:paraId="7BE68F0B" w14:textId="77777777" w:rsidR="00F72C3B" w:rsidRPr="001025FE" w:rsidRDefault="00F72C3B" w:rsidP="00891865">
      <w:pPr>
        <w:pStyle w:val="Heading3"/>
      </w:pPr>
      <w:r w:rsidRPr="001025FE">
        <w:t xml:space="preserve">It shall be the responsibility of the Chief Finance Officer to maintain a register of all capitalised fixed assets owned by the University. </w:t>
      </w:r>
    </w:p>
    <w:p w14:paraId="570A81D2" w14:textId="77777777" w:rsidR="00F72C3B" w:rsidRPr="001025FE" w:rsidRDefault="00F72C3B" w:rsidP="00891865">
      <w:pPr>
        <w:pStyle w:val="Heading3"/>
      </w:pPr>
      <w:r w:rsidRPr="001025FE">
        <w:t xml:space="preserve">The Director of Estates &amp; Commercial Facilities shall arrange for the safe custody of all title deeds. </w:t>
      </w:r>
    </w:p>
    <w:p w14:paraId="492333A0" w14:textId="77777777" w:rsidR="00F72C3B" w:rsidRPr="001025FE" w:rsidRDefault="00F72C3B" w:rsidP="00891865">
      <w:pPr>
        <w:pStyle w:val="Heading3"/>
      </w:pPr>
      <w:r w:rsidRPr="001025FE">
        <w:t>Fixed asset and inventory item disposals, whether sold or destroyed, must be treated in accordance with the University’s Procedure for the Custody and Recording of Fixed Assets.</w:t>
      </w:r>
    </w:p>
    <w:p w14:paraId="66804EE6" w14:textId="77777777" w:rsidR="00F72C3B" w:rsidRPr="001025FE" w:rsidRDefault="00F72C3B" w:rsidP="00891865">
      <w:pPr>
        <w:pStyle w:val="Heading3"/>
      </w:pPr>
      <w:r w:rsidRPr="001025FE">
        <w:t>Disposal of land and buildings must only take place with the prior authorisation of the Board of Governors.</w:t>
      </w:r>
    </w:p>
    <w:p w14:paraId="635FBC39" w14:textId="77777777" w:rsidR="00F72C3B" w:rsidRPr="001025FE" w:rsidRDefault="00F72C3B" w:rsidP="00891865">
      <w:pPr>
        <w:pStyle w:val="Heading3"/>
      </w:pPr>
      <w:r w:rsidRPr="001025FE">
        <w:t xml:space="preserve">Lessees and/or other occupiers of University land and/or buildings shall not be allowed to take possession until the lease or agreement, in a form approved by the Director of Estates &amp; Commercial Facilities, has been signed. </w:t>
      </w:r>
    </w:p>
    <w:p w14:paraId="6AC4BB69" w14:textId="77777777" w:rsidR="00F72C3B" w:rsidRPr="001025FE" w:rsidRDefault="00F72C3B" w:rsidP="00F3060C">
      <w:pPr>
        <w:pStyle w:val="Heading3"/>
      </w:pPr>
      <w:r w:rsidRPr="001025FE">
        <w:t xml:space="preserve">All vehicles purchased by the University shall be notified to the Director of Estates &amp; Commercial Facilities who shall retain all registration and MOT documents. </w:t>
      </w:r>
    </w:p>
    <w:p w14:paraId="185689C8" w14:textId="77777777" w:rsidR="00F72C3B" w:rsidRPr="001025FE" w:rsidRDefault="00F72C3B" w:rsidP="00F3060C">
      <w:pPr>
        <w:pStyle w:val="Heading3"/>
      </w:pPr>
      <w:r w:rsidRPr="001025FE">
        <w:t xml:space="preserve">The licensing of all vehicles shall be undertaken by the Director of Estates &amp; Commercial Facilities. </w:t>
      </w:r>
    </w:p>
    <w:p w14:paraId="4AF08104" w14:textId="77777777" w:rsidR="00F72C3B" w:rsidRPr="001025FE" w:rsidRDefault="00F72C3B" w:rsidP="00502D1D">
      <w:pPr>
        <w:pStyle w:val="Heading2"/>
        <w:numPr>
          <w:ilvl w:val="0"/>
          <w:numId w:val="0"/>
        </w:numPr>
      </w:pPr>
    </w:p>
    <w:p w14:paraId="07925B9C" w14:textId="77777777" w:rsidR="00F72C3B" w:rsidRPr="001025FE" w:rsidRDefault="00F72C3B" w:rsidP="00233BBF">
      <w:pPr>
        <w:pStyle w:val="Heading2"/>
      </w:pPr>
      <w:r w:rsidRPr="001025FE">
        <w:t>Intellectual Assets</w:t>
      </w:r>
    </w:p>
    <w:p w14:paraId="14D12B65" w14:textId="77777777" w:rsidR="00F72C3B" w:rsidRPr="001025FE" w:rsidRDefault="00F72C3B" w:rsidP="00891865">
      <w:pPr>
        <w:pStyle w:val="Heading3"/>
      </w:pPr>
      <w:r w:rsidRPr="001025FE">
        <w:t>Officers and employees are responsible for ensuring that the Intellectual Property Rights of the University are protected and may only be disposed of or exploited in accordance with the University’s Intellectual Property Rights Policy.</w:t>
      </w:r>
    </w:p>
    <w:p w14:paraId="377A6C40" w14:textId="77777777" w:rsidR="00F72C3B" w:rsidRPr="001025FE" w:rsidRDefault="00F72C3B" w:rsidP="00891865">
      <w:pPr>
        <w:pStyle w:val="Heading3"/>
      </w:pPr>
      <w:r w:rsidRPr="001025FE">
        <w:t xml:space="preserve">When members of staff make an invention which, in their opinion, it is desirable to protect by a patent, they shall inform their Head of School who shall inform the Director of Research &amp; Enterprise. </w:t>
      </w:r>
    </w:p>
    <w:p w14:paraId="6E97B3AE" w14:textId="77777777" w:rsidR="00F72C3B" w:rsidRPr="001025FE" w:rsidRDefault="00F72C3B" w:rsidP="00502D1D">
      <w:pPr>
        <w:pStyle w:val="Heading2"/>
        <w:numPr>
          <w:ilvl w:val="0"/>
          <w:numId w:val="0"/>
        </w:numPr>
      </w:pPr>
      <w:bookmarkStart w:id="80" w:name="_Toc379892916"/>
      <w:bookmarkStart w:id="81" w:name="_Toc379893023"/>
    </w:p>
    <w:p w14:paraId="4CD511A5" w14:textId="77777777" w:rsidR="00F72C3B" w:rsidRPr="001025FE" w:rsidRDefault="00F72C3B" w:rsidP="00246AC6">
      <w:pPr>
        <w:pStyle w:val="Heading2"/>
      </w:pPr>
      <w:r w:rsidRPr="001025FE">
        <w:t>Insurance</w:t>
      </w:r>
      <w:bookmarkEnd w:id="80"/>
      <w:bookmarkEnd w:id="81"/>
    </w:p>
    <w:p w14:paraId="2512D576" w14:textId="77777777" w:rsidR="00F72C3B" w:rsidRPr="001025FE" w:rsidRDefault="00F72C3B" w:rsidP="00891865">
      <w:pPr>
        <w:pStyle w:val="Heading3"/>
      </w:pPr>
      <w:r w:rsidRPr="001025FE">
        <w:t>The portfolio of insurances will be reviewed and approved by the Chief Finance Officer on an annual basis.</w:t>
      </w:r>
    </w:p>
    <w:p w14:paraId="5E93E6A2" w14:textId="77777777" w:rsidR="00F72C3B" w:rsidRPr="001025FE" w:rsidRDefault="00F72C3B" w:rsidP="00D878A8">
      <w:pPr>
        <w:pStyle w:val="Heading3"/>
      </w:pPr>
      <w:r w:rsidRPr="001025FE">
        <w:t>The Chief Finance Officer shall be responsible for effecting insurance cover.</w:t>
      </w:r>
    </w:p>
    <w:p w14:paraId="6B03BBBA" w14:textId="77777777" w:rsidR="00F72C3B" w:rsidRPr="001025FE" w:rsidRDefault="00F72C3B" w:rsidP="00891865">
      <w:pPr>
        <w:pStyle w:val="Heading3"/>
      </w:pPr>
      <w:r w:rsidRPr="001025FE">
        <w:t>The Chief Finance Officer shall prepare an annual report for the Board of Governors setting out insurable risks and levels of cover.</w:t>
      </w:r>
    </w:p>
    <w:p w14:paraId="0945B779" w14:textId="77777777" w:rsidR="00F72C3B" w:rsidRPr="001025FE" w:rsidRDefault="00F72C3B" w:rsidP="00D878A8">
      <w:pPr>
        <w:pStyle w:val="Heading3"/>
      </w:pPr>
      <w:r w:rsidRPr="001025FE">
        <w:t xml:space="preserve">Heads of College/Professional Service shall be responsible for notifying the Chief Finance Officer of any changes to insurable risk. </w:t>
      </w:r>
    </w:p>
    <w:p w14:paraId="529C5BD2" w14:textId="77777777" w:rsidR="00F72C3B" w:rsidRPr="001025FE" w:rsidRDefault="00F72C3B" w:rsidP="00891865">
      <w:pPr>
        <w:pStyle w:val="Heading3"/>
      </w:pPr>
      <w:r w:rsidRPr="001025FE">
        <w:t>Heads of College/Professional Service shall notify the Chief Finance Officer immediately of any loss, liability of damage, which may lead to a claim against or on behalf of the University.</w:t>
      </w:r>
    </w:p>
    <w:p w14:paraId="537B7056" w14:textId="77777777" w:rsidR="00F72C3B" w:rsidRPr="001025FE" w:rsidRDefault="00F72C3B" w:rsidP="00D878A8">
      <w:pPr>
        <w:pStyle w:val="Heading3"/>
        <w:numPr>
          <w:ilvl w:val="0"/>
          <w:numId w:val="0"/>
        </w:numPr>
      </w:pPr>
    </w:p>
    <w:p w14:paraId="41918668" w14:textId="77777777" w:rsidR="00F72C3B" w:rsidRPr="001025FE" w:rsidRDefault="00F72C3B" w:rsidP="002A58B2">
      <w:pPr>
        <w:sectPr w:rsidR="00F72C3B" w:rsidRPr="001025FE" w:rsidSect="00066F86">
          <w:footnotePr>
            <w:numRestart w:val="eachSect"/>
          </w:footnotePr>
          <w:endnotePr>
            <w:numFmt w:val="decimal"/>
          </w:endnotePr>
          <w:pgSz w:w="16840" w:h="11900" w:orient="landscape"/>
          <w:pgMar w:top="1077" w:right="1134" w:bottom="985" w:left="1440" w:header="720" w:footer="538" w:gutter="0"/>
          <w:pgNumType w:start="1"/>
          <w:cols w:space="0"/>
          <w:docGrid w:linePitch="299"/>
        </w:sectPr>
      </w:pPr>
    </w:p>
    <w:tbl>
      <w:tblPr>
        <w:tblW w:w="518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4"/>
        <w:gridCol w:w="3153"/>
        <w:gridCol w:w="3154"/>
        <w:gridCol w:w="3154"/>
        <w:gridCol w:w="2737"/>
      </w:tblGrid>
      <w:tr w:rsidR="00F72C3B" w:rsidRPr="001025FE" w14:paraId="24F95360" w14:textId="77777777" w:rsidTr="000D59CE">
        <w:trPr>
          <w:trHeight w:val="20"/>
          <w:tblHeader/>
        </w:trPr>
        <w:tc>
          <w:tcPr>
            <w:tcW w:w="877" w:type="pct"/>
            <w:shd w:val="solid" w:color="auto" w:fill="auto"/>
            <w:noWrap/>
          </w:tcPr>
          <w:p w14:paraId="06DE2498" w14:textId="77777777" w:rsidR="00F72C3B" w:rsidRPr="001025FE" w:rsidRDefault="00F72C3B" w:rsidP="000D59CE">
            <w:pPr>
              <w:ind w:right="-105"/>
              <w:rPr>
                <w:rFonts w:cs="Arial"/>
                <w:b/>
                <w:bCs/>
                <w:color w:val="FFFFFF"/>
                <w:sz w:val="18"/>
                <w:szCs w:val="18"/>
              </w:rPr>
            </w:pPr>
            <w:r w:rsidRPr="001025FE">
              <w:rPr>
                <w:rFonts w:cs="Arial"/>
                <w:b/>
                <w:bCs/>
                <w:color w:val="FFFFFF"/>
                <w:sz w:val="18"/>
                <w:szCs w:val="18"/>
              </w:rPr>
              <w:t>Area</w:t>
            </w:r>
          </w:p>
        </w:tc>
        <w:tc>
          <w:tcPr>
            <w:tcW w:w="1066" w:type="pct"/>
            <w:shd w:val="solid" w:color="auto" w:fill="auto"/>
            <w:noWrap/>
          </w:tcPr>
          <w:p w14:paraId="132E8269" w14:textId="77777777" w:rsidR="00F72C3B" w:rsidRPr="001025FE" w:rsidRDefault="00F72C3B" w:rsidP="000D59CE">
            <w:pPr>
              <w:ind w:left="91" w:right="-39"/>
              <w:rPr>
                <w:rFonts w:cs="Arial"/>
                <w:b/>
                <w:bCs/>
                <w:color w:val="FFFFFF"/>
                <w:sz w:val="18"/>
                <w:szCs w:val="18"/>
              </w:rPr>
            </w:pPr>
            <w:r w:rsidRPr="001025FE">
              <w:rPr>
                <w:rFonts w:cs="Arial"/>
                <w:b/>
                <w:bCs/>
                <w:color w:val="FFFFFF"/>
                <w:sz w:val="18"/>
                <w:szCs w:val="18"/>
              </w:rPr>
              <w:t>Action</w:t>
            </w:r>
          </w:p>
        </w:tc>
        <w:tc>
          <w:tcPr>
            <w:tcW w:w="1066" w:type="pct"/>
            <w:shd w:val="solid" w:color="auto" w:fill="auto"/>
            <w:noWrap/>
            <w:vAlign w:val="center"/>
          </w:tcPr>
          <w:p w14:paraId="7A4DA98B" w14:textId="77777777" w:rsidR="00F72C3B" w:rsidRPr="001025FE" w:rsidRDefault="00F72C3B" w:rsidP="000D59CE">
            <w:pPr>
              <w:ind w:left="6" w:right="6"/>
              <w:rPr>
                <w:rFonts w:cs="Arial"/>
                <w:b/>
                <w:bCs/>
                <w:color w:val="FFFFFF"/>
                <w:sz w:val="18"/>
                <w:szCs w:val="18"/>
              </w:rPr>
            </w:pPr>
            <w:r w:rsidRPr="001025FE">
              <w:rPr>
                <w:rFonts w:cs="Arial"/>
                <w:b/>
                <w:bCs/>
                <w:color w:val="FFFFFF"/>
                <w:sz w:val="18"/>
                <w:szCs w:val="18"/>
              </w:rPr>
              <w:t>Specific Delegated Action</w:t>
            </w:r>
          </w:p>
        </w:tc>
        <w:tc>
          <w:tcPr>
            <w:tcW w:w="1066" w:type="pct"/>
            <w:shd w:val="solid" w:color="auto" w:fill="auto"/>
            <w:noWrap/>
            <w:vAlign w:val="center"/>
          </w:tcPr>
          <w:p w14:paraId="106E2A91" w14:textId="77777777" w:rsidR="00F72C3B" w:rsidRPr="001025FE" w:rsidRDefault="00F72C3B" w:rsidP="000D59CE">
            <w:pPr>
              <w:ind w:right="-92"/>
              <w:rPr>
                <w:rFonts w:cs="Arial"/>
                <w:b/>
                <w:bCs/>
                <w:color w:val="FFFFFF"/>
                <w:sz w:val="18"/>
                <w:szCs w:val="18"/>
              </w:rPr>
            </w:pPr>
            <w:r w:rsidRPr="001025FE">
              <w:rPr>
                <w:rFonts w:cs="Arial"/>
                <w:b/>
                <w:bCs/>
                <w:color w:val="FFFFFF"/>
                <w:sz w:val="18"/>
                <w:szCs w:val="18"/>
              </w:rPr>
              <w:t>Delegated to</w:t>
            </w:r>
          </w:p>
        </w:tc>
        <w:tc>
          <w:tcPr>
            <w:tcW w:w="925" w:type="pct"/>
            <w:shd w:val="solid" w:color="auto" w:fill="auto"/>
            <w:vAlign w:val="center"/>
          </w:tcPr>
          <w:p w14:paraId="6D63B3E5" w14:textId="77777777" w:rsidR="00F72C3B" w:rsidRPr="001025FE" w:rsidRDefault="00F72C3B" w:rsidP="000D59CE">
            <w:pPr>
              <w:ind w:left="-15"/>
              <w:rPr>
                <w:rFonts w:cs="Arial"/>
                <w:b/>
                <w:bCs/>
                <w:color w:val="FFFFFF"/>
                <w:sz w:val="18"/>
                <w:szCs w:val="18"/>
              </w:rPr>
            </w:pPr>
            <w:r w:rsidRPr="001025FE">
              <w:rPr>
                <w:rFonts w:cs="Arial"/>
                <w:b/>
                <w:bCs/>
                <w:color w:val="FFFFFF"/>
                <w:sz w:val="18"/>
                <w:szCs w:val="18"/>
              </w:rPr>
              <w:t>Financial Limits (where applicable)</w:t>
            </w:r>
          </w:p>
        </w:tc>
      </w:tr>
      <w:tr w:rsidR="00F72C3B" w:rsidRPr="001025FE" w14:paraId="12096FC3" w14:textId="77777777" w:rsidTr="00FB3570">
        <w:trPr>
          <w:trHeight w:val="653"/>
        </w:trPr>
        <w:tc>
          <w:tcPr>
            <w:tcW w:w="877" w:type="pct"/>
            <w:vMerge w:val="restart"/>
          </w:tcPr>
          <w:p w14:paraId="0C005508" w14:textId="30EF17B3" w:rsidR="00F72C3B" w:rsidRPr="001025FE" w:rsidRDefault="000378B5" w:rsidP="000D59CE">
            <w:pPr>
              <w:ind w:right="-105"/>
              <w:rPr>
                <w:rFonts w:cs="Arial"/>
                <w:b/>
                <w:bCs/>
                <w:sz w:val="16"/>
                <w:szCs w:val="16"/>
              </w:rPr>
            </w:pPr>
            <w:r>
              <w:rPr>
                <w:rFonts w:cs="Arial"/>
                <w:b/>
                <w:bCs/>
                <w:sz w:val="16"/>
                <w:szCs w:val="16"/>
              </w:rPr>
              <w:t>Executing</w:t>
            </w:r>
            <w:r w:rsidR="00F72C3B" w:rsidRPr="001025FE">
              <w:rPr>
                <w:rFonts w:cs="Arial"/>
                <w:b/>
                <w:bCs/>
                <w:sz w:val="16"/>
                <w:szCs w:val="16"/>
              </w:rPr>
              <w:t xml:space="preserve"> University Contracts</w:t>
            </w:r>
          </w:p>
        </w:tc>
        <w:tc>
          <w:tcPr>
            <w:tcW w:w="1066" w:type="pct"/>
            <w:vMerge w:val="restart"/>
            <w:noWrap/>
          </w:tcPr>
          <w:p w14:paraId="03CACE81" w14:textId="77777777" w:rsidR="00F72C3B" w:rsidRPr="001025FE" w:rsidRDefault="00F72C3B" w:rsidP="000D59CE">
            <w:pPr>
              <w:ind w:left="91" w:right="-39"/>
              <w:rPr>
                <w:rFonts w:cs="Arial"/>
                <w:b/>
                <w:bCs/>
                <w:sz w:val="16"/>
                <w:szCs w:val="16"/>
              </w:rPr>
            </w:pPr>
            <w:r w:rsidRPr="001025FE">
              <w:rPr>
                <w:rFonts w:cs="Arial"/>
                <w:b/>
                <w:bCs/>
                <w:sz w:val="16"/>
                <w:szCs w:val="16"/>
              </w:rPr>
              <w:t>For the purchase of goods and services in relation to the ordinary activities  within a College or Professional Service area</w:t>
            </w:r>
          </w:p>
        </w:tc>
        <w:tc>
          <w:tcPr>
            <w:tcW w:w="1066" w:type="pct"/>
            <w:vMerge w:val="restart"/>
          </w:tcPr>
          <w:p w14:paraId="1660DFFE" w14:textId="38CC05D1" w:rsidR="00F72C3B" w:rsidRPr="001025FE" w:rsidRDefault="00F72C3B" w:rsidP="000378B5">
            <w:pPr>
              <w:rPr>
                <w:rFonts w:cs="Arial"/>
                <w:color w:val="000000"/>
                <w:sz w:val="16"/>
              </w:rPr>
            </w:pPr>
            <w:r w:rsidRPr="001025FE">
              <w:rPr>
                <w:rFonts w:cs="Arial"/>
                <w:color w:val="000000"/>
                <w:sz w:val="16"/>
                <w:szCs w:val="22"/>
              </w:rPr>
              <w:t xml:space="preserve">To </w:t>
            </w:r>
            <w:r w:rsidR="000378B5">
              <w:rPr>
                <w:rFonts w:cs="Arial"/>
                <w:color w:val="000000"/>
                <w:sz w:val="16"/>
                <w:szCs w:val="22"/>
              </w:rPr>
              <w:t>execute</w:t>
            </w:r>
            <w:r w:rsidRPr="001025FE">
              <w:rPr>
                <w:rFonts w:cs="Arial"/>
                <w:color w:val="000000"/>
                <w:sz w:val="16"/>
                <w:szCs w:val="22"/>
              </w:rPr>
              <w:t xml:space="preserve"> a contract</w:t>
            </w:r>
          </w:p>
        </w:tc>
        <w:tc>
          <w:tcPr>
            <w:tcW w:w="1066" w:type="pct"/>
            <w:noWrap/>
            <w:vAlign w:val="center"/>
          </w:tcPr>
          <w:p w14:paraId="1D7DBE6F" w14:textId="77777777" w:rsidR="00F72C3B" w:rsidRPr="001025FE" w:rsidRDefault="00F72C3B" w:rsidP="00E407AB">
            <w:pPr>
              <w:ind w:left="-15"/>
              <w:rPr>
                <w:rFonts w:cs="Arial"/>
                <w:sz w:val="16"/>
                <w:szCs w:val="16"/>
              </w:rPr>
            </w:pPr>
            <w:r w:rsidRPr="001025FE">
              <w:rPr>
                <w:rFonts w:cs="Arial"/>
                <w:sz w:val="16"/>
                <w:szCs w:val="16"/>
              </w:rPr>
              <w:t>Director of Service or SMT Lead</w:t>
            </w:r>
          </w:p>
        </w:tc>
        <w:tc>
          <w:tcPr>
            <w:tcW w:w="925" w:type="pct"/>
            <w:noWrap/>
            <w:vAlign w:val="center"/>
          </w:tcPr>
          <w:p w14:paraId="7BFF73C6" w14:textId="7F214A9E" w:rsidR="00F72C3B" w:rsidRPr="001025FE" w:rsidRDefault="000378B5" w:rsidP="00FB3570">
            <w:pPr>
              <w:ind w:left="-15"/>
              <w:rPr>
                <w:rFonts w:cs="Arial"/>
                <w:sz w:val="16"/>
                <w:szCs w:val="16"/>
              </w:rPr>
            </w:pPr>
            <w:r>
              <w:rPr>
                <w:rFonts w:cs="Arial"/>
                <w:sz w:val="16"/>
                <w:szCs w:val="16"/>
              </w:rPr>
              <w:t>Up to £1</w:t>
            </w:r>
            <w:r w:rsidR="00F72C3B" w:rsidRPr="001025FE">
              <w:rPr>
                <w:rFonts w:cs="Arial"/>
                <w:sz w:val="16"/>
                <w:szCs w:val="16"/>
              </w:rPr>
              <w:t>00,000 over the life of the contract</w:t>
            </w:r>
          </w:p>
        </w:tc>
      </w:tr>
      <w:tr w:rsidR="000378B5" w:rsidRPr="001025FE" w14:paraId="16560B60" w14:textId="77777777" w:rsidTr="00E407AB">
        <w:trPr>
          <w:trHeight w:val="20"/>
        </w:trPr>
        <w:tc>
          <w:tcPr>
            <w:tcW w:w="877" w:type="pct"/>
            <w:vMerge/>
          </w:tcPr>
          <w:p w14:paraId="1F7C1656" w14:textId="77777777" w:rsidR="000378B5" w:rsidRDefault="000378B5" w:rsidP="000378B5">
            <w:pPr>
              <w:ind w:right="-105"/>
              <w:rPr>
                <w:rFonts w:cs="Arial"/>
                <w:b/>
                <w:bCs/>
                <w:sz w:val="16"/>
                <w:szCs w:val="16"/>
              </w:rPr>
            </w:pPr>
          </w:p>
        </w:tc>
        <w:tc>
          <w:tcPr>
            <w:tcW w:w="1066" w:type="pct"/>
            <w:vMerge/>
            <w:noWrap/>
          </w:tcPr>
          <w:p w14:paraId="76719D68" w14:textId="77777777" w:rsidR="000378B5" w:rsidRPr="001025FE" w:rsidRDefault="000378B5" w:rsidP="000378B5">
            <w:pPr>
              <w:ind w:left="91" w:right="-39"/>
              <w:rPr>
                <w:rFonts w:cs="Arial"/>
                <w:b/>
                <w:bCs/>
                <w:sz w:val="16"/>
                <w:szCs w:val="16"/>
              </w:rPr>
            </w:pPr>
          </w:p>
        </w:tc>
        <w:tc>
          <w:tcPr>
            <w:tcW w:w="1066" w:type="pct"/>
            <w:vMerge/>
          </w:tcPr>
          <w:p w14:paraId="7FB09983" w14:textId="77777777" w:rsidR="000378B5" w:rsidRPr="001025FE" w:rsidRDefault="000378B5" w:rsidP="000378B5">
            <w:pPr>
              <w:rPr>
                <w:rFonts w:cs="Arial"/>
                <w:color w:val="000000"/>
                <w:sz w:val="16"/>
                <w:szCs w:val="22"/>
              </w:rPr>
            </w:pPr>
          </w:p>
        </w:tc>
        <w:tc>
          <w:tcPr>
            <w:tcW w:w="1066" w:type="pct"/>
            <w:noWrap/>
            <w:vAlign w:val="center"/>
          </w:tcPr>
          <w:p w14:paraId="34FE24CF" w14:textId="0607E4CB" w:rsidR="000378B5" w:rsidRPr="001025FE" w:rsidRDefault="000378B5" w:rsidP="000378B5">
            <w:pPr>
              <w:ind w:left="-15"/>
              <w:rPr>
                <w:rFonts w:cs="Arial"/>
                <w:sz w:val="16"/>
                <w:szCs w:val="16"/>
              </w:rPr>
            </w:pPr>
            <w:r w:rsidRPr="001025FE">
              <w:rPr>
                <w:rFonts w:cs="Arial"/>
                <w:sz w:val="16"/>
                <w:szCs w:val="16"/>
              </w:rPr>
              <w:t>Director of Service or SMT Lead</w:t>
            </w:r>
            <w:r>
              <w:rPr>
                <w:rFonts w:cs="Arial"/>
                <w:sz w:val="16"/>
                <w:szCs w:val="16"/>
              </w:rPr>
              <w:t>, with advice taken from the Head of Purchasing and Procurement</w:t>
            </w:r>
          </w:p>
        </w:tc>
        <w:tc>
          <w:tcPr>
            <w:tcW w:w="925" w:type="pct"/>
            <w:noWrap/>
            <w:vAlign w:val="center"/>
          </w:tcPr>
          <w:p w14:paraId="14D6FA89" w14:textId="11FFE4F4" w:rsidR="000378B5" w:rsidRPr="001025FE" w:rsidRDefault="000378B5" w:rsidP="000378B5">
            <w:pPr>
              <w:ind w:left="-15"/>
              <w:rPr>
                <w:rFonts w:cs="Arial"/>
                <w:sz w:val="16"/>
                <w:szCs w:val="16"/>
              </w:rPr>
            </w:pPr>
            <w:r>
              <w:rPr>
                <w:rFonts w:cs="Arial"/>
                <w:sz w:val="16"/>
                <w:szCs w:val="16"/>
              </w:rPr>
              <w:t>Between £100,000 and</w:t>
            </w:r>
            <w:r w:rsidRPr="001025FE">
              <w:rPr>
                <w:rFonts w:cs="Arial"/>
                <w:sz w:val="16"/>
                <w:szCs w:val="16"/>
              </w:rPr>
              <w:t xml:space="preserve"> £200,000 over the life of the contract</w:t>
            </w:r>
          </w:p>
        </w:tc>
      </w:tr>
      <w:tr w:rsidR="00F72C3B" w:rsidRPr="001025FE" w14:paraId="731BA56D" w14:textId="77777777" w:rsidTr="00E407AB">
        <w:trPr>
          <w:trHeight w:val="20"/>
        </w:trPr>
        <w:tc>
          <w:tcPr>
            <w:tcW w:w="877" w:type="pct"/>
            <w:vMerge/>
          </w:tcPr>
          <w:p w14:paraId="0F1156FF" w14:textId="77777777" w:rsidR="00F72C3B" w:rsidRPr="001025FE" w:rsidRDefault="00F72C3B" w:rsidP="000D59CE">
            <w:pPr>
              <w:ind w:right="-105"/>
              <w:rPr>
                <w:rFonts w:cs="Arial"/>
                <w:b/>
                <w:bCs/>
                <w:sz w:val="16"/>
                <w:szCs w:val="16"/>
              </w:rPr>
            </w:pPr>
          </w:p>
        </w:tc>
        <w:tc>
          <w:tcPr>
            <w:tcW w:w="1066" w:type="pct"/>
            <w:vMerge/>
            <w:noWrap/>
          </w:tcPr>
          <w:p w14:paraId="27432F3C" w14:textId="77777777" w:rsidR="00F72C3B" w:rsidRPr="001025FE" w:rsidRDefault="00F72C3B" w:rsidP="000D59CE">
            <w:pPr>
              <w:ind w:left="91" w:right="-39"/>
              <w:rPr>
                <w:rFonts w:cs="Arial"/>
                <w:b/>
                <w:bCs/>
                <w:sz w:val="16"/>
                <w:szCs w:val="16"/>
              </w:rPr>
            </w:pPr>
          </w:p>
        </w:tc>
        <w:tc>
          <w:tcPr>
            <w:tcW w:w="1066" w:type="pct"/>
            <w:vMerge/>
            <w:vAlign w:val="center"/>
          </w:tcPr>
          <w:p w14:paraId="5777C5EC" w14:textId="77777777" w:rsidR="00F72C3B" w:rsidRPr="001025FE" w:rsidRDefault="00F72C3B">
            <w:pPr>
              <w:rPr>
                <w:rFonts w:cs="Arial"/>
                <w:color w:val="000000"/>
                <w:sz w:val="16"/>
              </w:rPr>
            </w:pPr>
          </w:p>
        </w:tc>
        <w:tc>
          <w:tcPr>
            <w:tcW w:w="1066" w:type="pct"/>
            <w:noWrap/>
            <w:vAlign w:val="bottom"/>
          </w:tcPr>
          <w:p w14:paraId="28F0C042" w14:textId="500BAE49" w:rsidR="00F72C3B" w:rsidRPr="001025FE" w:rsidRDefault="00F72C3B" w:rsidP="008967E4">
            <w:pPr>
              <w:ind w:right="-92"/>
              <w:rPr>
                <w:rFonts w:cs="Arial"/>
                <w:sz w:val="16"/>
                <w:szCs w:val="16"/>
              </w:rPr>
            </w:pPr>
            <w:r w:rsidRPr="001025FE">
              <w:rPr>
                <w:rFonts w:cs="Arial"/>
                <w:color w:val="000000"/>
                <w:sz w:val="16"/>
                <w:szCs w:val="22"/>
              </w:rPr>
              <w:t>SMT Lead and Chief Finance Officer</w:t>
            </w:r>
            <w:r w:rsidR="000378B5">
              <w:rPr>
                <w:rFonts w:cs="Arial"/>
                <w:color w:val="000000"/>
                <w:sz w:val="16"/>
                <w:szCs w:val="22"/>
              </w:rPr>
              <w:t xml:space="preserve">, </w:t>
            </w:r>
            <w:r w:rsidR="000378B5">
              <w:rPr>
                <w:rFonts w:cs="Arial"/>
                <w:sz w:val="16"/>
                <w:szCs w:val="16"/>
              </w:rPr>
              <w:t>with advice taken from the Head of Purchasing and Procurement</w:t>
            </w:r>
          </w:p>
        </w:tc>
        <w:tc>
          <w:tcPr>
            <w:tcW w:w="925" w:type="pct"/>
            <w:noWrap/>
            <w:vAlign w:val="center"/>
          </w:tcPr>
          <w:p w14:paraId="370C6F6E" w14:textId="77777777" w:rsidR="00F72C3B" w:rsidRPr="001025FE" w:rsidRDefault="00F72C3B" w:rsidP="008967E4">
            <w:pPr>
              <w:ind w:left="-15"/>
              <w:rPr>
                <w:rFonts w:cs="Arial"/>
                <w:sz w:val="16"/>
                <w:szCs w:val="16"/>
              </w:rPr>
            </w:pPr>
            <w:r w:rsidRPr="001025FE">
              <w:rPr>
                <w:rFonts w:cs="Arial"/>
                <w:color w:val="000000"/>
                <w:sz w:val="16"/>
                <w:szCs w:val="22"/>
              </w:rPr>
              <w:t>Between £200,000 and £1 million over the life of the contract</w:t>
            </w:r>
          </w:p>
        </w:tc>
      </w:tr>
      <w:tr w:rsidR="00F72C3B" w:rsidRPr="001025FE" w14:paraId="552924AF" w14:textId="77777777" w:rsidTr="00E407AB">
        <w:trPr>
          <w:trHeight w:val="20"/>
        </w:trPr>
        <w:tc>
          <w:tcPr>
            <w:tcW w:w="877" w:type="pct"/>
            <w:vMerge/>
          </w:tcPr>
          <w:p w14:paraId="06A637F8" w14:textId="77777777" w:rsidR="00F72C3B" w:rsidRPr="001025FE" w:rsidRDefault="00F72C3B" w:rsidP="000D59CE">
            <w:pPr>
              <w:ind w:right="-105"/>
              <w:rPr>
                <w:rFonts w:cs="Arial"/>
                <w:b/>
                <w:bCs/>
                <w:sz w:val="16"/>
                <w:szCs w:val="16"/>
              </w:rPr>
            </w:pPr>
          </w:p>
        </w:tc>
        <w:tc>
          <w:tcPr>
            <w:tcW w:w="1066" w:type="pct"/>
            <w:vMerge/>
            <w:noWrap/>
          </w:tcPr>
          <w:p w14:paraId="31BDD1D4" w14:textId="77777777" w:rsidR="00F72C3B" w:rsidRPr="001025FE" w:rsidRDefault="00F72C3B" w:rsidP="000D59CE">
            <w:pPr>
              <w:ind w:left="91" w:right="-39"/>
              <w:rPr>
                <w:rFonts w:cs="Arial"/>
                <w:b/>
                <w:bCs/>
                <w:sz w:val="16"/>
                <w:szCs w:val="16"/>
              </w:rPr>
            </w:pPr>
          </w:p>
        </w:tc>
        <w:tc>
          <w:tcPr>
            <w:tcW w:w="1066" w:type="pct"/>
            <w:vMerge/>
            <w:vAlign w:val="center"/>
          </w:tcPr>
          <w:p w14:paraId="5A277659" w14:textId="77777777" w:rsidR="00F72C3B" w:rsidRPr="001025FE" w:rsidRDefault="00F72C3B">
            <w:pPr>
              <w:rPr>
                <w:rFonts w:cs="Arial"/>
                <w:color w:val="000000"/>
                <w:sz w:val="16"/>
              </w:rPr>
            </w:pPr>
          </w:p>
        </w:tc>
        <w:tc>
          <w:tcPr>
            <w:tcW w:w="1066" w:type="pct"/>
            <w:noWrap/>
            <w:vAlign w:val="bottom"/>
          </w:tcPr>
          <w:p w14:paraId="36F42759" w14:textId="48A11576" w:rsidR="00F72C3B" w:rsidRPr="001025FE" w:rsidRDefault="00F72C3B" w:rsidP="008967E4">
            <w:pPr>
              <w:ind w:right="-92"/>
              <w:rPr>
                <w:rFonts w:cs="Arial"/>
                <w:sz w:val="16"/>
                <w:szCs w:val="16"/>
              </w:rPr>
            </w:pPr>
            <w:r w:rsidRPr="001025FE">
              <w:rPr>
                <w:rFonts w:cs="Arial"/>
                <w:color w:val="000000"/>
                <w:sz w:val="16"/>
                <w:szCs w:val="22"/>
              </w:rPr>
              <w:t>SMT Lead and Vice Chancellor</w:t>
            </w:r>
            <w:r w:rsidR="000378B5">
              <w:rPr>
                <w:rFonts w:cs="Arial"/>
                <w:color w:val="000000"/>
                <w:sz w:val="16"/>
                <w:szCs w:val="22"/>
              </w:rPr>
              <w:t xml:space="preserve">, </w:t>
            </w:r>
            <w:r w:rsidR="000378B5">
              <w:rPr>
                <w:rFonts w:cs="Arial"/>
                <w:sz w:val="16"/>
                <w:szCs w:val="16"/>
              </w:rPr>
              <w:t>with advice taken from the Head of Purchasing and Procurement</w:t>
            </w:r>
          </w:p>
        </w:tc>
        <w:tc>
          <w:tcPr>
            <w:tcW w:w="925" w:type="pct"/>
            <w:noWrap/>
            <w:vAlign w:val="center"/>
          </w:tcPr>
          <w:p w14:paraId="4F965434" w14:textId="77777777" w:rsidR="00F72C3B" w:rsidRPr="001025FE" w:rsidRDefault="00F72C3B" w:rsidP="008967E4">
            <w:pPr>
              <w:ind w:right="-92"/>
              <w:rPr>
                <w:rFonts w:cs="Arial"/>
                <w:sz w:val="16"/>
                <w:szCs w:val="16"/>
              </w:rPr>
            </w:pPr>
            <w:r w:rsidRPr="001025FE">
              <w:rPr>
                <w:rFonts w:cs="Arial"/>
                <w:color w:val="000000"/>
                <w:sz w:val="16"/>
                <w:szCs w:val="22"/>
              </w:rPr>
              <w:t>Above £1 million over the life of the contract</w:t>
            </w:r>
          </w:p>
        </w:tc>
      </w:tr>
      <w:tr w:rsidR="00F72C3B" w:rsidRPr="001025FE" w14:paraId="24B66A2B" w14:textId="77777777" w:rsidTr="00E407AB">
        <w:trPr>
          <w:trHeight w:val="20"/>
        </w:trPr>
        <w:tc>
          <w:tcPr>
            <w:tcW w:w="877" w:type="pct"/>
            <w:vMerge/>
          </w:tcPr>
          <w:p w14:paraId="26712697" w14:textId="77777777" w:rsidR="00F72C3B" w:rsidRPr="001025FE" w:rsidRDefault="00F72C3B" w:rsidP="000D59CE">
            <w:pPr>
              <w:ind w:right="-105"/>
              <w:rPr>
                <w:rFonts w:cs="Arial"/>
                <w:b/>
                <w:bCs/>
                <w:sz w:val="16"/>
                <w:szCs w:val="16"/>
              </w:rPr>
            </w:pPr>
          </w:p>
        </w:tc>
        <w:tc>
          <w:tcPr>
            <w:tcW w:w="1066" w:type="pct"/>
            <w:noWrap/>
          </w:tcPr>
          <w:p w14:paraId="5DE2409A" w14:textId="77777777" w:rsidR="00F72C3B" w:rsidRPr="001025FE" w:rsidRDefault="00F72C3B" w:rsidP="000D59CE">
            <w:pPr>
              <w:ind w:left="91" w:right="-39"/>
              <w:rPr>
                <w:rFonts w:cs="Arial"/>
                <w:b/>
                <w:bCs/>
                <w:sz w:val="16"/>
                <w:szCs w:val="16"/>
              </w:rPr>
            </w:pPr>
            <w:r w:rsidRPr="001025FE">
              <w:rPr>
                <w:rFonts w:cs="Arial"/>
                <w:b/>
                <w:bCs/>
                <w:sz w:val="16"/>
                <w:szCs w:val="16"/>
              </w:rPr>
              <w:t xml:space="preserve">For the formation and operation of subsidiary companies, associates, joint ventures, spin-outs and any other strategic partnership </w:t>
            </w:r>
          </w:p>
        </w:tc>
        <w:tc>
          <w:tcPr>
            <w:tcW w:w="1066" w:type="pct"/>
          </w:tcPr>
          <w:p w14:paraId="4BD5344D" w14:textId="346C959B" w:rsidR="00F72C3B" w:rsidRPr="001025FE" w:rsidRDefault="00C019DC" w:rsidP="008967E4">
            <w:pPr>
              <w:rPr>
                <w:rFonts w:cs="Arial"/>
                <w:color w:val="000000"/>
                <w:sz w:val="16"/>
              </w:rPr>
            </w:pPr>
            <w:r>
              <w:rPr>
                <w:rFonts w:cs="Arial"/>
                <w:color w:val="000000"/>
                <w:sz w:val="16"/>
                <w:szCs w:val="22"/>
              </w:rPr>
              <w:t>To execute</w:t>
            </w:r>
            <w:r w:rsidR="00F72C3B" w:rsidRPr="001025FE">
              <w:rPr>
                <w:rFonts w:cs="Arial"/>
                <w:color w:val="000000"/>
                <w:sz w:val="16"/>
                <w:szCs w:val="22"/>
              </w:rPr>
              <w:t xml:space="preserve"> a contract</w:t>
            </w:r>
          </w:p>
        </w:tc>
        <w:tc>
          <w:tcPr>
            <w:tcW w:w="1066" w:type="pct"/>
            <w:noWrap/>
          </w:tcPr>
          <w:p w14:paraId="4D445E71" w14:textId="77777777" w:rsidR="00F72C3B" w:rsidRPr="001025FE" w:rsidRDefault="00F72C3B" w:rsidP="008967E4">
            <w:pPr>
              <w:rPr>
                <w:rFonts w:cs="Arial"/>
                <w:color w:val="000000"/>
                <w:sz w:val="16"/>
              </w:rPr>
            </w:pPr>
            <w:r w:rsidRPr="001025FE">
              <w:rPr>
                <w:rFonts w:cs="Arial"/>
                <w:color w:val="000000"/>
                <w:sz w:val="16"/>
                <w:szCs w:val="22"/>
              </w:rPr>
              <w:t>Vice Chancellor</w:t>
            </w:r>
          </w:p>
        </w:tc>
        <w:tc>
          <w:tcPr>
            <w:tcW w:w="925" w:type="pct"/>
            <w:noWrap/>
          </w:tcPr>
          <w:p w14:paraId="52E7E12D" w14:textId="77777777" w:rsidR="00F72C3B" w:rsidRPr="001025FE" w:rsidRDefault="00F72C3B">
            <w:pPr>
              <w:rPr>
                <w:rFonts w:cs="Arial"/>
                <w:color w:val="000000"/>
                <w:sz w:val="16"/>
              </w:rPr>
            </w:pPr>
            <w:r w:rsidRPr="001025FE">
              <w:rPr>
                <w:rFonts w:cs="Arial"/>
                <w:color w:val="000000"/>
                <w:sz w:val="16"/>
                <w:szCs w:val="22"/>
              </w:rPr>
              <w:t>N/A</w:t>
            </w:r>
          </w:p>
        </w:tc>
      </w:tr>
      <w:tr w:rsidR="00F72C3B" w:rsidRPr="001025FE" w14:paraId="077A8556" w14:textId="77777777" w:rsidTr="00E407AB">
        <w:trPr>
          <w:trHeight w:val="20"/>
        </w:trPr>
        <w:tc>
          <w:tcPr>
            <w:tcW w:w="877" w:type="pct"/>
            <w:vMerge/>
          </w:tcPr>
          <w:p w14:paraId="0513BFE7" w14:textId="77777777" w:rsidR="00F72C3B" w:rsidRPr="001025FE" w:rsidRDefault="00F72C3B" w:rsidP="000D59CE">
            <w:pPr>
              <w:ind w:right="-105"/>
              <w:rPr>
                <w:rFonts w:cs="Arial"/>
                <w:b/>
                <w:bCs/>
                <w:sz w:val="16"/>
                <w:szCs w:val="16"/>
              </w:rPr>
            </w:pPr>
          </w:p>
        </w:tc>
        <w:tc>
          <w:tcPr>
            <w:tcW w:w="1066" w:type="pct"/>
            <w:noWrap/>
          </w:tcPr>
          <w:p w14:paraId="61B5B0F2" w14:textId="77777777" w:rsidR="00F72C3B" w:rsidRPr="001025FE" w:rsidRDefault="00F72C3B" w:rsidP="000D59CE">
            <w:pPr>
              <w:ind w:left="91" w:right="-39"/>
              <w:rPr>
                <w:rFonts w:cs="Arial"/>
                <w:b/>
                <w:bCs/>
                <w:sz w:val="16"/>
                <w:szCs w:val="16"/>
              </w:rPr>
            </w:pPr>
            <w:r w:rsidRPr="001025FE">
              <w:rPr>
                <w:rFonts w:cs="Arial"/>
                <w:b/>
                <w:bCs/>
                <w:sz w:val="16"/>
                <w:szCs w:val="16"/>
              </w:rPr>
              <w:t>To enter in to any form of financial instrument including borrowings and interest rate agreements.</w:t>
            </w:r>
          </w:p>
        </w:tc>
        <w:tc>
          <w:tcPr>
            <w:tcW w:w="1066" w:type="pct"/>
          </w:tcPr>
          <w:p w14:paraId="12521E51" w14:textId="323B158C" w:rsidR="00F72C3B" w:rsidRPr="001025FE" w:rsidRDefault="00F72C3B" w:rsidP="00C019DC">
            <w:pPr>
              <w:rPr>
                <w:rFonts w:cs="Arial"/>
                <w:color w:val="000000"/>
                <w:sz w:val="16"/>
              </w:rPr>
            </w:pPr>
            <w:r w:rsidRPr="001025FE">
              <w:rPr>
                <w:rFonts w:cs="Arial"/>
                <w:color w:val="000000"/>
                <w:sz w:val="16"/>
                <w:szCs w:val="22"/>
              </w:rPr>
              <w:t xml:space="preserve">To </w:t>
            </w:r>
            <w:r w:rsidR="00C019DC">
              <w:rPr>
                <w:rFonts w:cs="Arial"/>
                <w:color w:val="000000"/>
                <w:sz w:val="16"/>
                <w:szCs w:val="22"/>
              </w:rPr>
              <w:t>execute</w:t>
            </w:r>
            <w:r w:rsidRPr="001025FE">
              <w:rPr>
                <w:rFonts w:cs="Arial"/>
                <w:color w:val="000000"/>
                <w:sz w:val="16"/>
                <w:szCs w:val="22"/>
              </w:rPr>
              <w:t xml:space="preserve"> a contract</w:t>
            </w:r>
          </w:p>
        </w:tc>
        <w:tc>
          <w:tcPr>
            <w:tcW w:w="1066" w:type="pct"/>
            <w:noWrap/>
          </w:tcPr>
          <w:p w14:paraId="7361BA34" w14:textId="77777777" w:rsidR="00F72C3B" w:rsidRPr="001025FE" w:rsidRDefault="00F72C3B" w:rsidP="008967E4">
            <w:pPr>
              <w:rPr>
                <w:rFonts w:cs="Arial"/>
                <w:color w:val="000000"/>
                <w:sz w:val="16"/>
              </w:rPr>
            </w:pPr>
            <w:r w:rsidRPr="001025FE">
              <w:rPr>
                <w:rFonts w:cs="Arial"/>
                <w:color w:val="000000"/>
                <w:sz w:val="16"/>
                <w:szCs w:val="22"/>
              </w:rPr>
              <w:t>Vice Chancellor and Chief Financial Officer (unless Governor signature specifically requested by other party)</w:t>
            </w:r>
          </w:p>
        </w:tc>
        <w:tc>
          <w:tcPr>
            <w:tcW w:w="925" w:type="pct"/>
            <w:noWrap/>
          </w:tcPr>
          <w:p w14:paraId="07314040" w14:textId="77777777" w:rsidR="00F72C3B" w:rsidRPr="001025FE" w:rsidRDefault="00F72C3B">
            <w:pPr>
              <w:rPr>
                <w:rFonts w:cs="Arial"/>
                <w:color w:val="000000"/>
                <w:sz w:val="16"/>
              </w:rPr>
            </w:pPr>
            <w:r w:rsidRPr="001025FE">
              <w:rPr>
                <w:rFonts w:cs="Arial"/>
                <w:color w:val="000000"/>
                <w:sz w:val="16"/>
                <w:szCs w:val="22"/>
              </w:rPr>
              <w:t>N/A</w:t>
            </w:r>
          </w:p>
        </w:tc>
      </w:tr>
      <w:tr w:rsidR="00F72C3B" w:rsidRPr="001025FE" w14:paraId="62BEA5B8" w14:textId="77777777" w:rsidTr="004E7E3D">
        <w:trPr>
          <w:trHeight w:val="20"/>
        </w:trPr>
        <w:tc>
          <w:tcPr>
            <w:tcW w:w="877" w:type="pct"/>
            <w:vMerge w:val="restart"/>
          </w:tcPr>
          <w:p w14:paraId="0259DC8F" w14:textId="77777777" w:rsidR="00F72C3B" w:rsidRPr="001025FE" w:rsidRDefault="00F72C3B" w:rsidP="000D59CE">
            <w:pPr>
              <w:ind w:right="-105"/>
              <w:rPr>
                <w:rFonts w:cs="Arial"/>
                <w:b/>
                <w:bCs/>
                <w:sz w:val="16"/>
                <w:szCs w:val="16"/>
              </w:rPr>
            </w:pPr>
            <w:r w:rsidRPr="001025FE">
              <w:rPr>
                <w:rFonts w:cs="Arial"/>
                <w:b/>
                <w:bCs/>
                <w:sz w:val="16"/>
                <w:szCs w:val="16"/>
              </w:rPr>
              <w:t>Purchasing and Procurement</w:t>
            </w:r>
          </w:p>
        </w:tc>
        <w:tc>
          <w:tcPr>
            <w:tcW w:w="1066" w:type="pct"/>
            <w:vMerge w:val="restart"/>
            <w:noWrap/>
          </w:tcPr>
          <w:p w14:paraId="4C6F02C9" w14:textId="77777777" w:rsidR="00F72C3B" w:rsidRPr="001025FE" w:rsidRDefault="00F72C3B" w:rsidP="000D59CE">
            <w:pPr>
              <w:ind w:left="91" w:right="-39"/>
              <w:rPr>
                <w:rFonts w:cs="Arial"/>
                <w:b/>
                <w:bCs/>
                <w:sz w:val="16"/>
                <w:szCs w:val="16"/>
              </w:rPr>
            </w:pPr>
            <w:r w:rsidRPr="001025FE">
              <w:rPr>
                <w:rFonts w:cs="Arial"/>
                <w:b/>
                <w:bCs/>
                <w:sz w:val="16"/>
                <w:szCs w:val="16"/>
              </w:rPr>
              <w:t>To request the purchase of goods/services</w:t>
            </w:r>
          </w:p>
        </w:tc>
        <w:tc>
          <w:tcPr>
            <w:tcW w:w="1066" w:type="pct"/>
            <w:vMerge w:val="restart"/>
          </w:tcPr>
          <w:p w14:paraId="59CAB2A3" w14:textId="77777777" w:rsidR="00F72C3B" w:rsidRPr="001025FE" w:rsidRDefault="00F72C3B">
            <w:pPr>
              <w:rPr>
                <w:rFonts w:cs="Arial"/>
                <w:color w:val="000000"/>
                <w:sz w:val="16"/>
              </w:rPr>
            </w:pPr>
            <w:r w:rsidRPr="001025FE">
              <w:rPr>
                <w:rFonts w:cs="Arial"/>
                <w:color w:val="000000"/>
                <w:sz w:val="16"/>
                <w:szCs w:val="22"/>
              </w:rPr>
              <w:t>To authorise a purchase requisition</w:t>
            </w:r>
          </w:p>
        </w:tc>
        <w:tc>
          <w:tcPr>
            <w:tcW w:w="1066" w:type="pct"/>
            <w:noWrap/>
            <w:vAlign w:val="bottom"/>
          </w:tcPr>
          <w:p w14:paraId="5033EAFC" w14:textId="77777777" w:rsidR="00F72C3B" w:rsidRPr="001025FE" w:rsidRDefault="00F72C3B">
            <w:pPr>
              <w:rPr>
                <w:rFonts w:cs="Arial"/>
                <w:color w:val="000000"/>
                <w:sz w:val="16"/>
              </w:rPr>
            </w:pPr>
            <w:r w:rsidRPr="001025FE">
              <w:rPr>
                <w:rFonts w:cs="Arial"/>
                <w:color w:val="000000"/>
                <w:sz w:val="16"/>
                <w:szCs w:val="22"/>
              </w:rPr>
              <w:t>Staff with formal delegated authority within the College/Professional Service*</w:t>
            </w:r>
          </w:p>
        </w:tc>
        <w:tc>
          <w:tcPr>
            <w:tcW w:w="925" w:type="pct"/>
            <w:noWrap/>
            <w:vAlign w:val="bottom"/>
          </w:tcPr>
          <w:p w14:paraId="72CAA23B" w14:textId="77777777" w:rsidR="00F72C3B" w:rsidRPr="001025FE" w:rsidRDefault="00F72C3B">
            <w:pPr>
              <w:rPr>
                <w:rFonts w:cs="Arial"/>
                <w:color w:val="000000"/>
                <w:sz w:val="16"/>
              </w:rPr>
            </w:pPr>
            <w:r w:rsidRPr="001025FE">
              <w:rPr>
                <w:rFonts w:cs="Arial"/>
                <w:color w:val="000000"/>
                <w:sz w:val="16"/>
                <w:szCs w:val="22"/>
              </w:rPr>
              <w:t>Up to £50,000</w:t>
            </w:r>
          </w:p>
        </w:tc>
      </w:tr>
      <w:tr w:rsidR="00F72C3B" w:rsidRPr="001025FE" w14:paraId="7C92789A" w14:textId="77777777" w:rsidTr="004E7E3D">
        <w:trPr>
          <w:trHeight w:val="20"/>
        </w:trPr>
        <w:tc>
          <w:tcPr>
            <w:tcW w:w="877" w:type="pct"/>
            <w:vMerge/>
          </w:tcPr>
          <w:p w14:paraId="46E88073" w14:textId="77777777" w:rsidR="00F72C3B" w:rsidRPr="001025FE" w:rsidRDefault="00F72C3B" w:rsidP="000D59CE">
            <w:pPr>
              <w:ind w:right="-105"/>
              <w:rPr>
                <w:rFonts w:cs="Arial"/>
                <w:b/>
                <w:bCs/>
                <w:sz w:val="16"/>
                <w:szCs w:val="16"/>
              </w:rPr>
            </w:pPr>
          </w:p>
        </w:tc>
        <w:tc>
          <w:tcPr>
            <w:tcW w:w="1066" w:type="pct"/>
            <w:vMerge/>
          </w:tcPr>
          <w:p w14:paraId="6094983D" w14:textId="77777777" w:rsidR="00F72C3B" w:rsidRPr="001025FE" w:rsidRDefault="00F72C3B" w:rsidP="000D59CE">
            <w:pPr>
              <w:ind w:left="91" w:right="-39"/>
              <w:rPr>
                <w:rFonts w:cs="Arial"/>
                <w:b/>
                <w:bCs/>
                <w:sz w:val="16"/>
                <w:szCs w:val="16"/>
              </w:rPr>
            </w:pPr>
          </w:p>
        </w:tc>
        <w:tc>
          <w:tcPr>
            <w:tcW w:w="1066" w:type="pct"/>
            <w:vMerge/>
            <w:vAlign w:val="center"/>
          </w:tcPr>
          <w:p w14:paraId="3FA13B8B" w14:textId="77777777" w:rsidR="00F72C3B" w:rsidRPr="001025FE" w:rsidRDefault="00F72C3B" w:rsidP="000D59CE">
            <w:pPr>
              <w:ind w:left="6" w:right="6"/>
              <w:rPr>
                <w:rFonts w:cs="Arial"/>
                <w:sz w:val="16"/>
                <w:szCs w:val="16"/>
              </w:rPr>
            </w:pPr>
          </w:p>
        </w:tc>
        <w:tc>
          <w:tcPr>
            <w:tcW w:w="1066" w:type="pct"/>
            <w:vAlign w:val="bottom"/>
          </w:tcPr>
          <w:p w14:paraId="2776261B" w14:textId="77777777" w:rsidR="00F72C3B" w:rsidRPr="001025FE" w:rsidRDefault="00F72C3B" w:rsidP="000D59CE">
            <w:pPr>
              <w:ind w:right="-92"/>
              <w:rPr>
                <w:rFonts w:cs="Arial"/>
                <w:sz w:val="16"/>
                <w:szCs w:val="16"/>
              </w:rPr>
            </w:pPr>
            <w:r w:rsidRPr="001025FE">
              <w:rPr>
                <w:rFonts w:cs="Arial"/>
                <w:color w:val="000000"/>
                <w:sz w:val="16"/>
                <w:szCs w:val="22"/>
              </w:rPr>
              <w:t>Director of Service or SMT Lead</w:t>
            </w:r>
          </w:p>
        </w:tc>
        <w:tc>
          <w:tcPr>
            <w:tcW w:w="925" w:type="pct"/>
            <w:noWrap/>
            <w:vAlign w:val="bottom"/>
          </w:tcPr>
          <w:p w14:paraId="7AA08EC8" w14:textId="77777777" w:rsidR="00F72C3B" w:rsidRPr="001025FE" w:rsidRDefault="00F72C3B" w:rsidP="000D59CE">
            <w:pPr>
              <w:ind w:left="-15"/>
              <w:rPr>
                <w:rFonts w:cs="Arial"/>
                <w:sz w:val="16"/>
                <w:szCs w:val="16"/>
              </w:rPr>
            </w:pPr>
            <w:r w:rsidRPr="001025FE">
              <w:rPr>
                <w:rFonts w:cs="Arial"/>
                <w:color w:val="000000"/>
                <w:sz w:val="16"/>
                <w:szCs w:val="22"/>
              </w:rPr>
              <w:t>Between £50,000 and £200,000</w:t>
            </w:r>
          </w:p>
        </w:tc>
      </w:tr>
      <w:tr w:rsidR="00F72C3B" w:rsidRPr="001025FE" w14:paraId="3EDC2B0A" w14:textId="77777777" w:rsidTr="004E7E3D">
        <w:trPr>
          <w:trHeight w:val="20"/>
        </w:trPr>
        <w:tc>
          <w:tcPr>
            <w:tcW w:w="877" w:type="pct"/>
            <w:vMerge/>
          </w:tcPr>
          <w:p w14:paraId="1A29A628" w14:textId="77777777" w:rsidR="00F72C3B" w:rsidRPr="001025FE" w:rsidRDefault="00F72C3B" w:rsidP="000D59CE">
            <w:pPr>
              <w:ind w:right="-105"/>
              <w:rPr>
                <w:rFonts w:cs="Arial"/>
                <w:b/>
                <w:bCs/>
                <w:sz w:val="16"/>
                <w:szCs w:val="16"/>
              </w:rPr>
            </w:pPr>
          </w:p>
        </w:tc>
        <w:tc>
          <w:tcPr>
            <w:tcW w:w="1066" w:type="pct"/>
            <w:vMerge/>
          </w:tcPr>
          <w:p w14:paraId="4AD809E6" w14:textId="77777777" w:rsidR="00F72C3B" w:rsidRPr="001025FE" w:rsidRDefault="00F72C3B" w:rsidP="000D59CE">
            <w:pPr>
              <w:ind w:left="91" w:right="-39"/>
              <w:rPr>
                <w:rFonts w:cs="Arial"/>
                <w:b/>
                <w:bCs/>
                <w:sz w:val="16"/>
                <w:szCs w:val="16"/>
              </w:rPr>
            </w:pPr>
          </w:p>
        </w:tc>
        <w:tc>
          <w:tcPr>
            <w:tcW w:w="1066" w:type="pct"/>
            <w:vMerge/>
            <w:vAlign w:val="center"/>
          </w:tcPr>
          <w:p w14:paraId="5D008D53" w14:textId="77777777" w:rsidR="00F72C3B" w:rsidRPr="001025FE" w:rsidRDefault="00F72C3B" w:rsidP="000D59CE">
            <w:pPr>
              <w:ind w:left="6" w:right="6"/>
              <w:rPr>
                <w:rFonts w:cs="Arial"/>
                <w:sz w:val="16"/>
                <w:szCs w:val="16"/>
              </w:rPr>
            </w:pPr>
          </w:p>
        </w:tc>
        <w:tc>
          <w:tcPr>
            <w:tcW w:w="1066" w:type="pct"/>
            <w:noWrap/>
            <w:vAlign w:val="bottom"/>
          </w:tcPr>
          <w:p w14:paraId="793AA202" w14:textId="77777777" w:rsidR="00F72C3B" w:rsidRPr="001025FE" w:rsidRDefault="00F72C3B" w:rsidP="000D59CE">
            <w:pPr>
              <w:ind w:right="-92"/>
              <w:rPr>
                <w:rFonts w:cs="Arial"/>
                <w:sz w:val="16"/>
                <w:szCs w:val="16"/>
              </w:rPr>
            </w:pPr>
            <w:r w:rsidRPr="001025FE">
              <w:rPr>
                <w:rFonts w:cs="Arial"/>
                <w:color w:val="000000"/>
                <w:sz w:val="16"/>
                <w:szCs w:val="22"/>
              </w:rPr>
              <w:t>SMT Lead and Chief Finance Officer</w:t>
            </w:r>
          </w:p>
        </w:tc>
        <w:tc>
          <w:tcPr>
            <w:tcW w:w="925" w:type="pct"/>
            <w:noWrap/>
            <w:vAlign w:val="bottom"/>
          </w:tcPr>
          <w:p w14:paraId="59662667" w14:textId="77777777" w:rsidR="00F72C3B" w:rsidRPr="001025FE" w:rsidRDefault="00F72C3B" w:rsidP="000D59CE">
            <w:pPr>
              <w:ind w:left="-15"/>
              <w:rPr>
                <w:rFonts w:cs="Arial"/>
                <w:sz w:val="16"/>
                <w:szCs w:val="16"/>
              </w:rPr>
            </w:pPr>
            <w:r w:rsidRPr="001025FE">
              <w:rPr>
                <w:rFonts w:cs="Arial"/>
                <w:color w:val="000000"/>
                <w:sz w:val="16"/>
                <w:szCs w:val="22"/>
              </w:rPr>
              <w:t>Between £200,000 and £1 million</w:t>
            </w:r>
          </w:p>
        </w:tc>
      </w:tr>
      <w:tr w:rsidR="00F72C3B" w:rsidRPr="001025FE" w14:paraId="3CE71678" w14:textId="77777777" w:rsidTr="004E7E3D">
        <w:trPr>
          <w:trHeight w:val="373"/>
        </w:trPr>
        <w:tc>
          <w:tcPr>
            <w:tcW w:w="877" w:type="pct"/>
            <w:vMerge/>
          </w:tcPr>
          <w:p w14:paraId="1F6BEE82" w14:textId="77777777" w:rsidR="00F72C3B" w:rsidRPr="001025FE" w:rsidRDefault="00F72C3B" w:rsidP="000D59CE">
            <w:pPr>
              <w:ind w:right="-105"/>
              <w:rPr>
                <w:rFonts w:cs="Arial"/>
                <w:b/>
                <w:bCs/>
                <w:sz w:val="16"/>
                <w:szCs w:val="16"/>
              </w:rPr>
            </w:pPr>
          </w:p>
        </w:tc>
        <w:tc>
          <w:tcPr>
            <w:tcW w:w="1066" w:type="pct"/>
            <w:vMerge/>
          </w:tcPr>
          <w:p w14:paraId="0AA9BCD5" w14:textId="77777777" w:rsidR="00F72C3B" w:rsidRPr="001025FE" w:rsidRDefault="00F72C3B" w:rsidP="000D59CE">
            <w:pPr>
              <w:ind w:left="91" w:right="-39"/>
              <w:rPr>
                <w:rFonts w:cs="Arial"/>
                <w:b/>
                <w:bCs/>
                <w:sz w:val="16"/>
                <w:szCs w:val="16"/>
              </w:rPr>
            </w:pPr>
          </w:p>
        </w:tc>
        <w:tc>
          <w:tcPr>
            <w:tcW w:w="1066" w:type="pct"/>
            <w:vMerge/>
            <w:vAlign w:val="center"/>
          </w:tcPr>
          <w:p w14:paraId="2CBDF56C" w14:textId="77777777" w:rsidR="00F72C3B" w:rsidRPr="001025FE" w:rsidRDefault="00F72C3B" w:rsidP="000D59CE">
            <w:pPr>
              <w:ind w:left="6" w:right="6"/>
              <w:rPr>
                <w:rFonts w:cs="Arial"/>
                <w:sz w:val="16"/>
                <w:szCs w:val="16"/>
              </w:rPr>
            </w:pPr>
          </w:p>
        </w:tc>
        <w:tc>
          <w:tcPr>
            <w:tcW w:w="1066" w:type="pct"/>
            <w:noWrap/>
            <w:vAlign w:val="bottom"/>
          </w:tcPr>
          <w:p w14:paraId="0E7CF300" w14:textId="77777777" w:rsidR="00F72C3B" w:rsidRPr="001025FE" w:rsidRDefault="00F72C3B" w:rsidP="000D59CE">
            <w:pPr>
              <w:ind w:right="-92"/>
              <w:rPr>
                <w:rFonts w:cs="Arial"/>
                <w:sz w:val="16"/>
                <w:szCs w:val="16"/>
              </w:rPr>
            </w:pPr>
            <w:r w:rsidRPr="001025FE">
              <w:rPr>
                <w:rFonts w:cs="Arial"/>
                <w:color w:val="000000"/>
                <w:sz w:val="16"/>
                <w:szCs w:val="22"/>
              </w:rPr>
              <w:t>SMT Lead and Vice Chancellor</w:t>
            </w:r>
          </w:p>
        </w:tc>
        <w:tc>
          <w:tcPr>
            <w:tcW w:w="925" w:type="pct"/>
            <w:noWrap/>
            <w:vAlign w:val="bottom"/>
          </w:tcPr>
          <w:p w14:paraId="6A82F467" w14:textId="77777777" w:rsidR="00F72C3B" w:rsidRPr="001025FE" w:rsidRDefault="00F72C3B" w:rsidP="000D59CE">
            <w:pPr>
              <w:ind w:right="-92"/>
              <w:rPr>
                <w:rFonts w:cs="Arial"/>
                <w:sz w:val="16"/>
                <w:szCs w:val="16"/>
              </w:rPr>
            </w:pPr>
            <w:r w:rsidRPr="001025FE">
              <w:rPr>
                <w:rFonts w:cs="Arial"/>
                <w:color w:val="000000"/>
                <w:sz w:val="16"/>
                <w:szCs w:val="22"/>
              </w:rPr>
              <w:t>Above £1 million</w:t>
            </w:r>
          </w:p>
        </w:tc>
      </w:tr>
      <w:tr w:rsidR="00F72C3B" w:rsidRPr="001025FE" w14:paraId="0904A8A5" w14:textId="77777777" w:rsidTr="004E7E3D">
        <w:trPr>
          <w:trHeight w:val="20"/>
        </w:trPr>
        <w:tc>
          <w:tcPr>
            <w:tcW w:w="877" w:type="pct"/>
            <w:vMerge/>
            <w:noWrap/>
          </w:tcPr>
          <w:p w14:paraId="0855C786" w14:textId="77777777" w:rsidR="00F72C3B" w:rsidRPr="001025FE" w:rsidRDefault="00F72C3B" w:rsidP="000D59CE">
            <w:pPr>
              <w:ind w:right="-105"/>
              <w:rPr>
                <w:rFonts w:cs="Arial"/>
                <w:b/>
                <w:bCs/>
                <w:sz w:val="16"/>
                <w:szCs w:val="16"/>
              </w:rPr>
            </w:pPr>
          </w:p>
        </w:tc>
        <w:tc>
          <w:tcPr>
            <w:tcW w:w="1066" w:type="pct"/>
            <w:vMerge w:val="restart"/>
            <w:noWrap/>
          </w:tcPr>
          <w:p w14:paraId="5DD40F8F" w14:textId="1165FAC7" w:rsidR="00F72C3B" w:rsidRPr="001025FE" w:rsidRDefault="00F72C3B" w:rsidP="00C019DC">
            <w:pPr>
              <w:ind w:left="91" w:right="-39"/>
              <w:rPr>
                <w:rFonts w:cs="Arial"/>
                <w:b/>
                <w:bCs/>
                <w:sz w:val="16"/>
                <w:szCs w:val="16"/>
              </w:rPr>
            </w:pPr>
            <w:r w:rsidRPr="001025FE">
              <w:rPr>
                <w:rFonts w:cs="Arial"/>
                <w:b/>
                <w:bCs/>
                <w:sz w:val="16"/>
                <w:szCs w:val="16"/>
              </w:rPr>
              <w:t xml:space="preserve">To approve purchase </w:t>
            </w:r>
            <w:r w:rsidR="000378B5">
              <w:rPr>
                <w:rFonts w:cs="Arial"/>
                <w:b/>
                <w:bCs/>
                <w:sz w:val="16"/>
                <w:szCs w:val="16"/>
              </w:rPr>
              <w:t>requisitions</w:t>
            </w:r>
            <w:r w:rsidRPr="001025FE">
              <w:rPr>
                <w:rFonts w:cs="Arial"/>
                <w:b/>
                <w:bCs/>
                <w:sz w:val="16"/>
                <w:szCs w:val="16"/>
              </w:rPr>
              <w:t xml:space="preserve"> </w:t>
            </w:r>
          </w:p>
        </w:tc>
        <w:tc>
          <w:tcPr>
            <w:tcW w:w="1066" w:type="pct"/>
            <w:vMerge w:val="restart"/>
          </w:tcPr>
          <w:p w14:paraId="2B65BD6A" w14:textId="10526436" w:rsidR="00F72C3B" w:rsidRPr="001025FE" w:rsidRDefault="00F72C3B" w:rsidP="00C019DC">
            <w:pPr>
              <w:rPr>
                <w:rFonts w:cs="Arial"/>
                <w:color w:val="000000"/>
                <w:sz w:val="16"/>
              </w:rPr>
            </w:pPr>
            <w:r w:rsidRPr="001025FE">
              <w:rPr>
                <w:rFonts w:cs="Arial"/>
                <w:color w:val="000000"/>
                <w:sz w:val="16"/>
                <w:szCs w:val="22"/>
              </w:rPr>
              <w:t xml:space="preserve">To approve purchase </w:t>
            </w:r>
            <w:r w:rsidR="00C019DC">
              <w:rPr>
                <w:rFonts w:cs="Arial"/>
                <w:color w:val="000000"/>
                <w:sz w:val="16"/>
                <w:szCs w:val="22"/>
              </w:rPr>
              <w:t>requisitions</w:t>
            </w:r>
            <w:r w:rsidRPr="001025FE">
              <w:rPr>
                <w:rFonts w:cs="Arial"/>
                <w:color w:val="000000"/>
                <w:sz w:val="16"/>
                <w:szCs w:val="22"/>
              </w:rPr>
              <w:t xml:space="preserve"> </w:t>
            </w:r>
          </w:p>
        </w:tc>
        <w:tc>
          <w:tcPr>
            <w:tcW w:w="1066" w:type="pct"/>
            <w:noWrap/>
            <w:vAlign w:val="bottom"/>
          </w:tcPr>
          <w:p w14:paraId="79204486" w14:textId="77777777" w:rsidR="00F72C3B" w:rsidRPr="001025FE" w:rsidRDefault="00F72C3B">
            <w:pPr>
              <w:rPr>
                <w:rFonts w:cs="Arial"/>
                <w:color w:val="000000"/>
                <w:sz w:val="16"/>
              </w:rPr>
            </w:pPr>
            <w:r w:rsidRPr="001025FE">
              <w:rPr>
                <w:rFonts w:cs="Arial"/>
                <w:color w:val="000000"/>
                <w:sz w:val="16"/>
                <w:szCs w:val="22"/>
              </w:rPr>
              <w:t>Staff with formal delegated authority within the College/Professional Service*</w:t>
            </w:r>
          </w:p>
        </w:tc>
        <w:tc>
          <w:tcPr>
            <w:tcW w:w="925" w:type="pct"/>
            <w:noWrap/>
            <w:vAlign w:val="bottom"/>
          </w:tcPr>
          <w:p w14:paraId="65F1D1A6" w14:textId="77777777" w:rsidR="00F72C3B" w:rsidRPr="001025FE" w:rsidRDefault="00F72C3B">
            <w:pPr>
              <w:rPr>
                <w:rFonts w:cs="Arial"/>
                <w:color w:val="000000"/>
                <w:sz w:val="16"/>
              </w:rPr>
            </w:pPr>
            <w:r w:rsidRPr="001025FE">
              <w:rPr>
                <w:rFonts w:cs="Arial"/>
                <w:color w:val="000000"/>
                <w:sz w:val="16"/>
                <w:szCs w:val="22"/>
              </w:rPr>
              <w:t>Up to £50,000</w:t>
            </w:r>
          </w:p>
        </w:tc>
      </w:tr>
      <w:tr w:rsidR="00F72C3B" w:rsidRPr="001025FE" w14:paraId="44ED6DF3" w14:textId="77777777" w:rsidTr="004E7E3D">
        <w:trPr>
          <w:trHeight w:val="475"/>
        </w:trPr>
        <w:tc>
          <w:tcPr>
            <w:tcW w:w="877" w:type="pct"/>
            <w:vMerge/>
            <w:noWrap/>
          </w:tcPr>
          <w:p w14:paraId="12C68588" w14:textId="77777777" w:rsidR="00F72C3B" w:rsidRPr="001025FE" w:rsidRDefault="00F72C3B" w:rsidP="000D59CE">
            <w:pPr>
              <w:ind w:right="-105"/>
              <w:rPr>
                <w:rFonts w:cs="Arial"/>
                <w:b/>
                <w:bCs/>
                <w:sz w:val="16"/>
                <w:szCs w:val="16"/>
              </w:rPr>
            </w:pPr>
          </w:p>
        </w:tc>
        <w:tc>
          <w:tcPr>
            <w:tcW w:w="1066" w:type="pct"/>
            <w:vMerge/>
            <w:noWrap/>
          </w:tcPr>
          <w:p w14:paraId="64FD5FBC" w14:textId="77777777" w:rsidR="00F72C3B" w:rsidRPr="001025FE" w:rsidRDefault="00F72C3B" w:rsidP="000D59CE">
            <w:pPr>
              <w:ind w:left="91" w:right="-39"/>
              <w:rPr>
                <w:rFonts w:cs="Arial"/>
                <w:b/>
                <w:bCs/>
                <w:sz w:val="16"/>
                <w:szCs w:val="16"/>
              </w:rPr>
            </w:pPr>
          </w:p>
        </w:tc>
        <w:tc>
          <w:tcPr>
            <w:tcW w:w="1066" w:type="pct"/>
            <w:vMerge/>
            <w:vAlign w:val="center"/>
          </w:tcPr>
          <w:p w14:paraId="674EAB60" w14:textId="77777777" w:rsidR="00F72C3B" w:rsidRPr="001025FE" w:rsidRDefault="00F72C3B" w:rsidP="000D59CE">
            <w:pPr>
              <w:ind w:left="6" w:right="6"/>
              <w:rPr>
                <w:rFonts w:cs="Arial"/>
                <w:sz w:val="16"/>
                <w:szCs w:val="16"/>
              </w:rPr>
            </w:pPr>
          </w:p>
        </w:tc>
        <w:tc>
          <w:tcPr>
            <w:tcW w:w="1066" w:type="pct"/>
            <w:noWrap/>
            <w:vAlign w:val="bottom"/>
          </w:tcPr>
          <w:p w14:paraId="50117A49" w14:textId="69D7A872" w:rsidR="00F72C3B" w:rsidRPr="001025FE" w:rsidRDefault="00C019DC" w:rsidP="00C019DC">
            <w:pPr>
              <w:ind w:right="-92"/>
              <w:rPr>
                <w:rFonts w:cs="Arial"/>
                <w:sz w:val="16"/>
                <w:szCs w:val="16"/>
              </w:rPr>
            </w:pPr>
            <w:r w:rsidRPr="001025FE">
              <w:rPr>
                <w:rFonts w:cs="Arial"/>
                <w:color w:val="000000"/>
                <w:sz w:val="16"/>
                <w:szCs w:val="22"/>
              </w:rPr>
              <w:t xml:space="preserve">Staff with formal delegated authority within the College/Professional Service </w:t>
            </w:r>
            <w:r w:rsidRPr="00C019DC">
              <w:rPr>
                <w:rFonts w:cs="Arial"/>
                <w:color w:val="000000"/>
                <w:sz w:val="16"/>
                <w:szCs w:val="22"/>
                <w:u w:val="single"/>
              </w:rPr>
              <w:t>and</w:t>
            </w:r>
            <w:r>
              <w:rPr>
                <w:rFonts w:cs="Arial"/>
                <w:color w:val="000000"/>
                <w:sz w:val="16"/>
                <w:szCs w:val="22"/>
              </w:rPr>
              <w:t xml:space="preserve"> a m</w:t>
            </w:r>
            <w:r w:rsidR="00F72C3B" w:rsidRPr="001025FE">
              <w:rPr>
                <w:rFonts w:cs="Arial"/>
                <w:color w:val="000000"/>
                <w:sz w:val="16"/>
                <w:szCs w:val="22"/>
              </w:rPr>
              <w:t>ember of the Procurement Team**</w:t>
            </w:r>
          </w:p>
        </w:tc>
        <w:tc>
          <w:tcPr>
            <w:tcW w:w="925" w:type="pct"/>
            <w:noWrap/>
            <w:vAlign w:val="bottom"/>
          </w:tcPr>
          <w:p w14:paraId="498D1863" w14:textId="77777777" w:rsidR="00F72C3B" w:rsidRPr="001025FE" w:rsidRDefault="00F72C3B" w:rsidP="000D59CE">
            <w:pPr>
              <w:ind w:left="-15"/>
              <w:rPr>
                <w:rFonts w:cs="Arial"/>
                <w:sz w:val="16"/>
                <w:szCs w:val="16"/>
              </w:rPr>
            </w:pPr>
            <w:r w:rsidRPr="001025FE">
              <w:rPr>
                <w:rFonts w:cs="Arial"/>
                <w:color w:val="000000"/>
                <w:sz w:val="16"/>
                <w:szCs w:val="22"/>
              </w:rPr>
              <w:t>Above £50,000</w:t>
            </w:r>
          </w:p>
        </w:tc>
      </w:tr>
      <w:tr w:rsidR="00F72C3B" w:rsidRPr="001025FE" w14:paraId="4E07F7E6" w14:textId="77777777" w:rsidTr="009F5A79">
        <w:trPr>
          <w:trHeight w:val="20"/>
        </w:trPr>
        <w:tc>
          <w:tcPr>
            <w:tcW w:w="877" w:type="pct"/>
            <w:vMerge/>
            <w:noWrap/>
          </w:tcPr>
          <w:p w14:paraId="639FD0E7" w14:textId="77777777" w:rsidR="00F72C3B" w:rsidRPr="001025FE" w:rsidRDefault="00F72C3B" w:rsidP="000D59CE">
            <w:pPr>
              <w:ind w:right="-105"/>
              <w:rPr>
                <w:rFonts w:cs="Arial"/>
                <w:b/>
                <w:bCs/>
                <w:sz w:val="16"/>
                <w:szCs w:val="16"/>
              </w:rPr>
            </w:pPr>
          </w:p>
        </w:tc>
        <w:tc>
          <w:tcPr>
            <w:tcW w:w="1066" w:type="pct"/>
            <w:vMerge w:val="restart"/>
            <w:noWrap/>
          </w:tcPr>
          <w:p w14:paraId="051E0EA8" w14:textId="78CB7F5D" w:rsidR="00F72C3B" w:rsidRPr="001025FE" w:rsidRDefault="00F72C3B" w:rsidP="00D818EE">
            <w:pPr>
              <w:ind w:left="91" w:right="-39"/>
              <w:rPr>
                <w:rFonts w:cs="Arial"/>
                <w:b/>
                <w:bCs/>
                <w:sz w:val="16"/>
                <w:szCs w:val="16"/>
              </w:rPr>
            </w:pPr>
            <w:r w:rsidRPr="001025FE">
              <w:rPr>
                <w:rFonts w:cs="Arial"/>
                <w:b/>
                <w:bCs/>
                <w:sz w:val="16"/>
                <w:szCs w:val="16"/>
              </w:rPr>
              <w:t>To approve a ‘one-off’ payment not related to the purchase of goods/services (</w:t>
            </w:r>
            <w:r w:rsidR="001E2ADA" w:rsidRPr="001025FE">
              <w:rPr>
                <w:rFonts w:cs="Arial"/>
                <w:b/>
                <w:bCs/>
                <w:sz w:val="16"/>
                <w:szCs w:val="16"/>
              </w:rPr>
              <w:t>e.g.</w:t>
            </w:r>
            <w:r w:rsidRPr="001025FE">
              <w:rPr>
                <w:rFonts w:cs="Arial"/>
                <w:b/>
                <w:bCs/>
                <w:sz w:val="16"/>
                <w:szCs w:val="16"/>
              </w:rPr>
              <w:t xml:space="preserve"> payment to a partner on a research project, employee season ticket loan payment).</w:t>
            </w:r>
          </w:p>
        </w:tc>
        <w:tc>
          <w:tcPr>
            <w:tcW w:w="1066" w:type="pct"/>
            <w:vMerge w:val="restart"/>
          </w:tcPr>
          <w:p w14:paraId="6D24E33F" w14:textId="77777777" w:rsidR="00F72C3B" w:rsidRPr="001025FE" w:rsidRDefault="00F72C3B" w:rsidP="009F5A79">
            <w:pPr>
              <w:rPr>
                <w:rFonts w:cs="Arial"/>
                <w:color w:val="000000"/>
                <w:sz w:val="16"/>
              </w:rPr>
            </w:pPr>
            <w:r w:rsidRPr="001025FE">
              <w:rPr>
                <w:rFonts w:cs="Arial"/>
                <w:color w:val="000000"/>
                <w:sz w:val="16"/>
                <w:szCs w:val="22"/>
              </w:rPr>
              <w:t>To approve a ‘one-off’ payment request</w:t>
            </w:r>
          </w:p>
        </w:tc>
        <w:tc>
          <w:tcPr>
            <w:tcW w:w="1066" w:type="pct"/>
            <w:noWrap/>
            <w:vAlign w:val="center"/>
          </w:tcPr>
          <w:p w14:paraId="3B2EEC23" w14:textId="77777777" w:rsidR="00F72C3B" w:rsidRPr="001025FE" w:rsidRDefault="00F72C3B" w:rsidP="00BF7FDD">
            <w:pPr>
              <w:rPr>
                <w:rFonts w:cs="Arial"/>
                <w:color w:val="000000"/>
                <w:sz w:val="16"/>
              </w:rPr>
            </w:pPr>
            <w:r w:rsidRPr="001025FE">
              <w:rPr>
                <w:rFonts w:cs="Arial"/>
                <w:color w:val="000000"/>
                <w:sz w:val="16"/>
                <w:szCs w:val="22"/>
              </w:rPr>
              <w:t>Staff with formal delegated authority within the College/Professional Service*</w:t>
            </w:r>
          </w:p>
        </w:tc>
        <w:tc>
          <w:tcPr>
            <w:tcW w:w="925" w:type="pct"/>
            <w:noWrap/>
            <w:vAlign w:val="center"/>
          </w:tcPr>
          <w:p w14:paraId="1225C51F" w14:textId="77777777" w:rsidR="00F72C3B" w:rsidRPr="001025FE" w:rsidRDefault="00F72C3B" w:rsidP="00BF7FDD">
            <w:pPr>
              <w:rPr>
                <w:rFonts w:cs="Arial"/>
                <w:color w:val="000000"/>
                <w:sz w:val="16"/>
              </w:rPr>
            </w:pPr>
            <w:r w:rsidRPr="001025FE">
              <w:rPr>
                <w:rFonts w:cs="Arial"/>
                <w:color w:val="000000"/>
                <w:sz w:val="16"/>
                <w:szCs w:val="22"/>
              </w:rPr>
              <w:t>Up to £50,000</w:t>
            </w:r>
          </w:p>
        </w:tc>
      </w:tr>
      <w:tr w:rsidR="00F72C3B" w:rsidRPr="001025FE" w14:paraId="104E92A9" w14:textId="77777777" w:rsidTr="009F5A79">
        <w:trPr>
          <w:trHeight w:val="20"/>
        </w:trPr>
        <w:tc>
          <w:tcPr>
            <w:tcW w:w="877" w:type="pct"/>
            <w:vMerge/>
            <w:noWrap/>
          </w:tcPr>
          <w:p w14:paraId="22BE10E4" w14:textId="77777777" w:rsidR="00F72C3B" w:rsidRPr="001025FE" w:rsidRDefault="00F72C3B" w:rsidP="000D59CE">
            <w:pPr>
              <w:ind w:right="-105"/>
              <w:rPr>
                <w:rFonts w:cs="Arial"/>
                <w:b/>
                <w:bCs/>
                <w:sz w:val="16"/>
                <w:szCs w:val="16"/>
              </w:rPr>
            </w:pPr>
          </w:p>
        </w:tc>
        <w:tc>
          <w:tcPr>
            <w:tcW w:w="1066" w:type="pct"/>
            <w:vMerge/>
            <w:noWrap/>
          </w:tcPr>
          <w:p w14:paraId="709AC89A" w14:textId="77777777" w:rsidR="00F72C3B" w:rsidRPr="001025FE" w:rsidRDefault="00F72C3B" w:rsidP="00D818EE">
            <w:pPr>
              <w:ind w:left="91" w:right="-39"/>
              <w:rPr>
                <w:rFonts w:cs="Arial"/>
                <w:b/>
                <w:bCs/>
                <w:sz w:val="16"/>
                <w:szCs w:val="16"/>
              </w:rPr>
            </w:pPr>
          </w:p>
        </w:tc>
        <w:tc>
          <w:tcPr>
            <w:tcW w:w="1066" w:type="pct"/>
            <w:vMerge/>
          </w:tcPr>
          <w:p w14:paraId="7D0EAA9C" w14:textId="77777777" w:rsidR="00F72C3B" w:rsidRPr="001025FE" w:rsidRDefault="00F72C3B" w:rsidP="009F5A79">
            <w:pPr>
              <w:rPr>
                <w:rFonts w:cs="Arial"/>
                <w:color w:val="000000"/>
                <w:sz w:val="16"/>
              </w:rPr>
            </w:pPr>
          </w:p>
        </w:tc>
        <w:tc>
          <w:tcPr>
            <w:tcW w:w="1066" w:type="pct"/>
            <w:noWrap/>
            <w:vAlign w:val="center"/>
          </w:tcPr>
          <w:p w14:paraId="36B42DD1" w14:textId="77777777" w:rsidR="00F72C3B" w:rsidRPr="001025FE" w:rsidRDefault="00F72C3B" w:rsidP="00BF7FDD">
            <w:pPr>
              <w:ind w:right="-92"/>
              <w:rPr>
                <w:rFonts w:cs="Arial"/>
                <w:sz w:val="16"/>
                <w:szCs w:val="16"/>
              </w:rPr>
            </w:pPr>
            <w:r w:rsidRPr="001025FE">
              <w:rPr>
                <w:rFonts w:cs="Arial"/>
                <w:color w:val="000000"/>
                <w:sz w:val="16"/>
                <w:szCs w:val="22"/>
              </w:rPr>
              <w:t>Director of Service or SMT Lead</w:t>
            </w:r>
          </w:p>
        </w:tc>
        <w:tc>
          <w:tcPr>
            <w:tcW w:w="925" w:type="pct"/>
            <w:noWrap/>
            <w:vAlign w:val="center"/>
          </w:tcPr>
          <w:p w14:paraId="394E6A3E" w14:textId="77777777" w:rsidR="00F72C3B" w:rsidRPr="001025FE" w:rsidRDefault="00F72C3B" w:rsidP="00BF7FDD">
            <w:pPr>
              <w:ind w:left="-15"/>
              <w:rPr>
                <w:rFonts w:cs="Arial"/>
                <w:sz w:val="16"/>
                <w:szCs w:val="16"/>
              </w:rPr>
            </w:pPr>
            <w:r w:rsidRPr="001025FE">
              <w:rPr>
                <w:rFonts w:cs="Arial"/>
                <w:color w:val="000000"/>
                <w:sz w:val="16"/>
                <w:szCs w:val="22"/>
              </w:rPr>
              <w:t>Between £50,000 and £200,000</w:t>
            </w:r>
          </w:p>
        </w:tc>
      </w:tr>
      <w:tr w:rsidR="00F72C3B" w:rsidRPr="001025FE" w14:paraId="42AC6EC8" w14:textId="77777777" w:rsidTr="009F5A79">
        <w:trPr>
          <w:trHeight w:val="20"/>
        </w:trPr>
        <w:tc>
          <w:tcPr>
            <w:tcW w:w="877" w:type="pct"/>
            <w:vMerge/>
            <w:noWrap/>
          </w:tcPr>
          <w:p w14:paraId="315D1179" w14:textId="77777777" w:rsidR="00F72C3B" w:rsidRPr="001025FE" w:rsidRDefault="00F72C3B" w:rsidP="000D59CE">
            <w:pPr>
              <w:ind w:right="-105"/>
              <w:rPr>
                <w:rFonts w:cs="Arial"/>
                <w:b/>
                <w:bCs/>
                <w:sz w:val="16"/>
                <w:szCs w:val="16"/>
              </w:rPr>
            </w:pPr>
          </w:p>
        </w:tc>
        <w:tc>
          <w:tcPr>
            <w:tcW w:w="1066" w:type="pct"/>
            <w:vMerge/>
            <w:noWrap/>
          </w:tcPr>
          <w:p w14:paraId="5A740BA6" w14:textId="77777777" w:rsidR="00F72C3B" w:rsidRPr="001025FE" w:rsidRDefault="00F72C3B" w:rsidP="00D818EE">
            <w:pPr>
              <w:ind w:left="91" w:right="-39"/>
              <w:rPr>
                <w:rFonts w:cs="Arial"/>
                <w:b/>
                <w:bCs/>
                <w:sz w:val="16"/>
                <w:szCs w:val="16"/>
              </w:rPr>
            </w:pPr>
          </w:p>
        </w:tc>
        <w:tc>
          <w:tcPr>
            <w:tcW w:w="1066" w:type="pct"/>
            <w:vMerge/>
          </w:tcPr>
          <w:p w14:paraId="30EFBE17" w14:textId="77777777" w:rsidR="00F72C3B" w:rsidRPr="001025FE" w:rsidRDefault="00F72C3B" w:rsidP="009F5A79">
            <w:pPr>
              <w:rPr>
                <w:rFonts w:cs="Arial"/>
                <w:color w:val="000000"/>
                <w:sz w:val="16"/>
              </w:rPr>
            </w:pPr>
          </w:p>
        </w:tc>
        <w:tc>
          <w:tcPr>
            <w:tcW w:w="1066" w:type="pct"/>
            <w:noWrap/>
            <w:vAlign w:val="center"/>
          </w:tcPr>
          <w:p w14:paraId="785C4993" w14:textId="77777777" w:rsidR="00F72C3B" w:rsidRPr="001025FE" w:rsidRDefault="00F72C3B" w:rsidP="00BF7FDD">
            <w:pPr>
              <w:ind w:right="-92"/>
              <w:rPr>
                <w:rFonts w:cs="Arial"/>
                <w:sz w:val="16"/>
                <w:szCs w:val="16"/>
              </w:rPr>
            </w:pPr>
            <w:r w:rsidRPr="001025FE">
              <w:rPr>
                <w:rFonts w:cs="Arial"/>
                <w:color w:val="000000"/>
                <w:sz w:val="16"/>
                <w:szCs w:val="22"/>
              </w:rPr>
              <w:t>SMT Lead and Chief Finance Officer</w:t>
            </w:r>
          </w:p>
        </w:tc>
        <w:tc>
          <w:tcPr>
            <w:tcW w:w="925" w:type="pct"/>
            <w:noWrap/>
            <w:vAlign w:val="center"/>
          </w:tcPr>
          <w:p w14:paraId="077F88B6" w14:textId="77777777" w:rsidR="00F72C3B" w:rsidRPr="001025FE" w:rsidRDefault="00F72C3B" w:rsidP="00BF7FDD">
            <w:pPr>
              <w:ind w:left="-15"/>
              <w:rPr>
                <w:rFonts w:cs="Arial"/>
                <w:sz w:val="16"/>
                <w:szCs w:val="16"/>
              </w:rPr>
            </w:pPr>
            <w:r w:rsidRPr="001025FE">
              <w:rPr>
                <w:rFonts w:cs="Arial"/>
                <w:color w:val="000000"/>
                <w:sz w:val="16"/>
                <w:szCs w:val="22"/>
              </w:rPr>
              <w:t>Between £200,000 and £1 million</w:t>
            </w:r>
          </w:p>
        </w:tc>
      </w:tr>
      <w:tr w:rsidR="00F72C3B" w:rsidRPr="001025FE" w14:paraId="337C7B7A" w14:textId="77777777" w:rsidTr="009F5A79">
        <w:trPr>
          <w:trHeight w:val="20"/>
        </w:trPr>
        <w:tc>
          <w:tcPr>
            <w:tcW w:w="877" w:type="pct"/>
            <w:vMerge/>
            <w:noWrap/>
          </w:tcPr>
          <w:p w14:paraId="6C22BF20" w14:textId="77777777" w:rsidR="00F72C3B" w:rsidRPr="001025FE" w:rsidRDefault="00F72C3B" w:rsidP="000D59CE">
            <w:pPr>
              <w:ind w:right="-105"/>
              <w:rPr>
                <w:rFonts w:cs="Arial"/>
                <w:b/>
                <w:bCs/>
                <w:sz w:val="16"/>
                <w:szCs w:val="16"/>
              </w:rPr>
            </w:pPr>
          </w:p>
        </w:tc>
        <w:tc>
          <w:tcPr>
            <w:tcW w:w="1066" w:type="pct"/>
            <w:vMerge/>
            <w:noWrap/>
          </w:tcPr>
          <w:p w14:paraId="0C0B31FA" w14:textId="77777777" w:rsidR="00F72C3B" w:rsidRPr="001025FE" w:rsidRDefault="00F72C3B" w:rsidP="00D818EE">
            <w:pPr>
              <w:ind w:left="91" w:right="-39"/>
              <w:rPr>
                <w:rFonts w:cs="Arial"/>
                <w:b/>
                <w:bCs/>
                <w:sz w:val="16"/>
                <w:szCs w:val="16"/>
              </w:rPr>
            </w:pPr>
          </w:p>
        </w:tc>
        <w:tc>
          <w:tcPr>
            <w:tcW w:w="1066" w:type="pct"/>
            <w:vMerge/>
          </w:tcPr>
          <w:p w14:paraId="24890755" w14:textId="77777777" w:rsidR="00F72C3B" w:rsidRPr="001025FE" w:rsidRDefault="00F72C3B" w:rsidP="009F5A79">
            <w:pPr>
              <w:rPr>
                <w:rFonts w:cs="Arial"/>
                <w:color w:val="000000"/>
                <w:sz w:val="16"/>
              </w:rPr>
            </w:pPr>
          </w:p>
        </w:tc>
        <w:tc>
          <w:tcPr>
            <w:tcW w:w="1066" w:type="pct"/>
            <w:noWrap/>
            <w:vAlign w:val="center"/>
          </w:tcPr>
          <w:p w14:paraId="37EB149B" w14:textId="77777777" w:rsidR="00F72C3B" w:rsidRPr="001025FE" w:rsidRDefault="00F72C3B" w:rsidP="00BF7FDD">
            <w:pPr>
              <w:ind w:right="-92"/>
              <w:rPr>
                <w:rFonts w:cs="Arial"/>
                <w:sz w:val="16"/>
                <w:szCs w:val="16"/>
              </w:rPr>
            </w:pPr>
            <w:r w:rsidRPr="001025FE">
              <w:rPr>
                <w:rFonts w:cs="Arial"/>
                <w:color w:val="000000"/>
                <w:sz w:val="16"/>
                <w:szCs w:val="22"/>
              </w:rPr>
              <w:t>SMT Lead and Vice Chancellor</w:t>
            </w:r>
          </w:p>
        </w:tc>
        <w:tc>
          <w:tcPr>
            <w:tcW w:w="925" w:type="pct"/>
            <w:noWrap/>
            <w:vAlign w:val="center"/>
          </w:tcPr>
          <w:p w14:paraId="50825826" w14:textId="77777777" w:rsidR="00F72C3B" w:rsidRPr="001025FE" w:rsidRDefault="00F72C3B" w:rsidP="00BF7FDD">
            <w:pPr>
              <w:ind w:right="-92"/>
              <w:rPr>
                <w:rFonts w:cs="Arial"/>
                <w:sz w:val="16"/>
                <w:szCs w:val="16"/>
              </w:rPr>
            </w:pPr>
            <w:r w:rsidRPr="001025FE">
              <w:rPr>
                <w:rFonts w:cs="Arial"/>
                <w:color w:val="000000"/>
                <w:sz w:val="16"/>
                <w:szCs w:val="22"/>
              </w:rPr>
              <w:t>Above £1 million</w:t>
            </w:r>
          </w:p>
        </w:tc>
      </w:tr>
      <w:tr w:rsidR="003F7586" w:rsidRPr="001025FE" w14:paraId="56DAE243" w14:textId="77777777" w:rsidTr="000D59CE">
        <w:trPr>
          <w:trHeight w:val="20"/>
        </w:trPr>
        <w:tc>
          <w:tcPr>
            <w:tcW w:w="877" w:type="pct"/>
            <w:vMerge w:val="restart"/>
            <w:noWrap/>
          </w:tcPr>
          <w:p w14:paraId="4999D0B6" w14:textId="31E21995" w:rsidR="003F7586" w:rsidRPr="001025FE" w:rsidRDefault="003F7586" w:rsidP="003F7586">
            <w:pPr>
              <w:ind w:right="-105"/>
              <w:rPr>
                <w:rFonts w:cs="Arial"/>
                <w:b/>
                <w:bCs/>
                <w:sz w:val="16"/>
                <w:szCs w:val="16"/>
              </w:rPr>
            </w:pPr>
            <w:r w:rsidRPr="001025FE">
              <w:rPr>
                <w:rFonts w:cs="Arial"/>
                <w:b/>
                <w:bCs/>
                <w:sz w:val="16"/>
                <w:szCs w:val="16"/>
              </w:rPr>
              <w:t>Banking and Payments</w:t>
            </w:r>
          </w:p>
        </w:tc>
        <w:tc>
          <w:tcPr>
            <w:tcW w:w="1066" w:type="pct"/>
            <w:vMerge w:val="restart"/>
            <w:noWrap/>
          </w:tcPr>
          <w:p w14:paraId="2CE8A458" w14:textId="6C5484C4" w:rsidR="003F7586" w:rsidRPr="001025FE" w:rsidRDefault="003F7586" w:rsidP="003F7586">
            <w:pPr>
              <w:ind w:left="91" w:right="-39"/>
              <w:rPr>
                <w:rFonts w:cs="Arial"/>
                <w:b/>
                <w:bCs/>
                <w:sz w:val="16"/>
                <w:szCs w:val="16"/>
              </w:rPr>
            </w:pPr>
            <w:r w:rsidRPr="001025FE">
              <w:rPr>
                <w:rFonts w:cs="Arial"/>
                <w:b/>
                <w:bCs/>
                <w:sz w:val="16"/>
                <w:szCs w:val="16"/>
              </w:rPr>
              <w:t>Purchase Ledger Payment Run</w:t>
            </w:r>
          </w:p>
        </w:tc>
        <w:tc>
          <w:tcPr>
            <w:tcW w:w="1066" w:type="pct"/>
            <w:vAlign w:val="center"/>
          </w:tcPr>
          <w:p w14:paraId="73F58FB8" w14:textId="01763E48" w:rsidR="003F7586" w:rsidRPr="001025FE" w:rsidRDefault="003F7586" w:rsidP="003F7586">
            <w:pPr>
              <w:ind w:left="6" w:right="6"/>
              <w:rPr>
                <w:rFonts w:cs="Arial"/>
                <w:sz w:val="16"/>
                <w:szCs w:val="16"/>
              </w:rPr>
            </w:pPr>
            <w:r w:rsidRPr="001025FE">
              <w:rPr>
                <w:rFonts w:cs="Arial"/>
                <w:sz w:val="16"/>
                <w:szCs w:val="16"/>
              </w:rPr>
              <w:t>Authorise remittance proposal to produce BACS payment file</w:t>
            </w:r>
          </w:p>
        </w:tc>
        <w:tc>
          <w:tcPr>
            <w:tcW w:w="1066" w:type="pct"/>
            <w:noWrap/>
            <w:vAlign w:val="center"/>
          </w:tcPr>
          <w:p w14:paraId="2E977830" w14:textId="303FF300" w:rsidR="003F7586" w:rsidRPr="001025FE" w:rsidRDefault="003F7586" w:rsidP="003F7586">
            <w:pPr>
              <w:ind w:right="-92"/>
              <w:rPr>
                <w:rFonts w:cs="Arial"/>
                <w:sz w:val="16"/>
                <w:szCs w:val="16"/>
              </w:rPr>
            </w:pPr>
            <w:r w:rsidRPr="001025FE">
              <w:rPr>
                <w:rFonts w:cs="Arial"/>
                <w:sz w:val="16"/>
                <w:szCs w:val="16"/>
              </w:rPr>
              <w:t>Finance Manager Grade 8 or above</w:t>
            </w:r>
          </w:p>
        </w:tc>
        <w:tc>
          <w:tcPr>
            <w:tcW w:w="925" w:type="pct"/>
            <w:noWrap/>
            <w:vAlign w:val="center"/>
          </w:tcPr>
          <w:p w14:paraId="03EA841C" w14:textId="205A0C3D" w:rsidR="003F7586" w:rsidRPr="001025FE" w:rsidRDefault="003F7586" w:rsidP="003F7586">
            <w:pPr>
              <w:ind w:left="-15"/>
              <w:rPr>
                <w:rFonts w:cs="Arial"/>
                <w:sz w:val="16"/>
                <w:szCs w:val="16"/>
              </w:rPr>
            </w:pPr>
            <w:r w:rsidRPr="001025FE">
              <w:rPr>
                <w:rFonts w:cs="Arial"/>
                <w:sz w:val="16"/>
                <w:szCs w:val="16"/>
              </w:rPr>
              <w:t>N/A</w:t>
            </w:r>
          </w:p>
        </w:tc>
      </w:tr>
      <w:tr w:rsidR="003F7586" w:rsidRPr="001025FE" w14:paraId="1D997B39" w14:textId="77777777" w:rsidTr="000D59CE">
        <w:trPr>
          <w:trHeight w:val="372"/>
        </w:trPr>
        <w:tc>
          <w:tcPr>
            <w:tcW w:w="877" w:type="pct"/>
            <w:vMerge/>
          </w:tcPr>
          <w:p w14:paraId="2627181B" w14:textId="77777777" w:rsidR="003F7586" w:rsidRPr="001025FE" w:rsidRDefault="003F7586" w:rsidP="003F7586">
            <w:pPr>
              <w:ind w:right="-105"/>
              <w:rPr>
                <w:rFonts w:cs="Arial"/>
                <w:b/>
                <w:bCs/>
                <w:sz w:val="16"/>
                <w:szCs w:val="16"/>
              </w:rPr>
            </w:pPr>
          </w:p>
        </w:tc>
        <w:tc>
          <w:tcPr>
            <w:tcW w:w="1066" w:type="pct"/>
            <w:vMerge/>
          </w:tcPr>
          <w:p w14:paraId="44D48FA3" w14:textId="77777777" w:rsidR="003F7586" w:rsidRPr="001025FE" w:rsidRDefault="003F7586" w:rsidP="003F7586">
            <w:pPr>
              <w:ind w:left="91" w:right="-39"/>
              <w:rPr>
                <w:rFonts w:cs="Arial"/>
                <w:b/>
                <w:bCs/>
                <w:sz w:val="16"/>
                <w:szCs w:val="16"/>
              </w:rPr>
            </w:pPr>
          </w:p>
        </w:tc>
        <w:tc>
          <w:tcPr>
            <w:tcW w:w="1066" w:type="pct"/>
            <w:vAlign w:val="center"/>
          </w:tcPr>
          <w:p w14:paraId="2997332A" w14:textId="06558CE7" w:rsidR="003F7586" w:rsidRPr="001025FE" w:rsidRDefault="003F7586" w:rsidP="003F7586">
            <w:pPr>
              <w:ind w:left="6" w:right="6"/>
              <w:rPr>
                <w:rFonts w:cs="Arial"/>
                <w:sz w:val="16"/>
                <w:szCs w:val="16"/>
              </w:rPr>
            </w:pPr>
            <w:r w:rsidRPr="001025FE">
              <w:rPr>
                <w:rFonts w:cs="Arial"/>
                <w:sz w:val="16"/>
                <w:szCs w:val="16"/>
              </w:rPr>
              <w:t>Authorise BACS payment report</w:t>
            </w:r>
          </w:p>
        </w:tc>
        <w:tc>
          <w:tcPr>
            <w:tcW w:w="1066" w:type="pct"/>
            <w:noWrap/>
            <w:vAlign w:val="center"/>
          </w:tcPr>
          <w:p w14:paraId="289288A8" w14:textId="1B0B2E38" w:rsidR="003F7586" w:rsidRPr="001025FE" w:rsidRDefault="003F7586" w:rsidP="003F7586">
            <w:pPr>
              <w:ind w:right="-92"/>
              <w:rPr>
                <w:rFonts w:cs="Arial"/>
                <w:sz w:val="16"/>
                <w:szCs w:val="16"/>
              </w:rPr>
            </w:pPr>
            <w:r w:rsidRPr="001025FE">
              <w:rPr>
                <w:rFonts w:cs="Arial"/>
                <w:sz w:val="16"/>
                <w:szCs w:val="16"/>
              </w:rPr>
              <w:t xml:space="preserve"> Chief Finance Officer</w:t>
            </w:r>
          </w:p>
        </w:tc>
        <w:tc>
          <w:tcPr>
            <w:tcW w:w="925" w:type="pct"/>
            <w:noWrap/>
            <w:vAlign w:val="center"/>
          </w:tcPr>
          <w:p w14:paraId="189169EE" w14:textId="16F8EBF2" w:rsidR="003F7586" w:rsidRPr="001025FE" w:rsidRDefault="003F7586" w:rsidP="003F7586">
            <w:pPr>
              <w:ind w:left="-15"/>
              <w:rPr>
                <w:rFonts w:cs="Arial"/>
                <w:sz w:val="16"/>
                <w:szCs w:val="16"/>
              </w:rPr>
            </w:pPr>
            <w:r w:rsidRPr="001025FE">
              <w:rPr>
                <w:rFonts w:cs="Arial"/>
                <w:sz w:val="16"/>
                <w:szCs w:val="16"/>
              </w:rPr>
              <w:t>N/A</w:t>
            </w:r>
          </w:p>
        </w:tc>
      </w:tr>
      <w:tr w:rsidR="003F7586" w:rsidRPr="001025FE" w14:paraId="5EEDB837" w14:textId="77777777" w:rsidTr="000D59CE">
        <w:trPr>
          <w:trHeight w:val="20"/>
        </w:trPr>
        <w:tc>
          <w:tcPr>
            <w:tcW w:w="877" w:type="pct"/>
            <w:vMerge/>
          </w:tcPr>
          <w:p w14:paraId="2418F02F" w14:textId="77777777" w:rsidR="003F7586" w:rsidRPr="001025FE" w:rsidRDefault="003F7586" w:rsidP="003F7586">
            <w:pPr>
              <w:ind w:right="-105"/>
              <w:rPr>
                <w:rFonts w:cs="Arial"/>
                <w:b/>
                <w:bCs/>
                <w:sz w:val="16"/>
                <w:szCs w:val="16"/>
              </w:rPr>
            </w:pPr>
          </w:p>
        </w:tc>
        <w:tc>
          <w:tcPr>
            <w:tcW w:w="1066" w:type="pct"/>
            <w:vMerge w:val="restart"/>
            <w:noWrap/>
          </w:tcPr>
          <w:p w14:paraId="6BC2F092" w14:textId="66804EF8" w:rsidR="003F7586" w:rsidRPr="001025FE" w:rsidRDefault="003F7586" w:rsidP="003F7586">
            <w:pPr>
              <w:ind w:left="91" w:right="-39"/>
              <w:rPr>
                <w:rFonts w:cs="Arial"/>
                <w:b/>
                <w:bCs/>
                <w:sz w:val="16"/>
                <w:szCs w:val="16"/>
              </w:rPr>
            </w:pPr>
            <w:r w:rsidRPr="001025FE">
              <w:rPr>
                <w:rFonts w:cs="Arial"/>
                <w:b/>
                <w:bCs/>
                <w:sz w:val="16"/>
                <w:szCs w:val="16"/>
              </w:rPr>
              <w:t>Online Banking Payments</w:t>
            </w:r>
          </w:p>
        </w:tc>
        <w:tc>
          <w:tcPr>
            <w:tcW w:w="1066" w:type="pct"/>
            <w:vMerge w:val="restart"/>
            <w:noWrap/>
          </w:tcPr>
          <w:p w14:paraId="38FA2458" w14:textId="77777777" w:rsidR="003F7586" w:rsidRPr="001025FE" w:rsidRDefault="003F7586" w:rsidP="003F7586">
            <w:pPr>
              <w:ind w:left="6" w:right="6"/>
              <w:rPr>
                <w:rFonts w:cs="Arial"/>
                <w:sz w:val="16"/>
                <w:szCs w:val="16"/>
              </w:rPr>
            </w:pPr>
            <w:r w:rsidRPr="001025FE">
              <w:rPr>
                <w:rFonts w:cs="Arial"/>
                <w:sz w:val="16"/>
                <w:szCs w:val="16"/>
              </w:rPr>
              <w:t>To authorise online banking payments</w:t>
            </w:r>
          </w:p>
          <w:p w14:paraId="39A01DB4" w14:textId="77777777" w:rsidR="003F7586" w:rsidRPr="001025FE" w:rsidRDefault="003F7586" w:rsidP="003F7586">
            <w:pPr>
              <w:ind w:left="6" w:right="6"/>
              <w:rPr>
                <w:rFonts w:cs="Arial"/>
                <w:sz w:val="16"/>
                <w:szCs w:val="16"/>
              </w:rPr>
            </w:pPr>
          </w:p>
        </w:tc>
        <w:tc>
          <w:tcPr>
            <w:tcW w:w="1066" w:type="pct"/>
            <w:noWrap/>
            <w:vAlign w:val="center"/>
          </w:tcPr>
          <w:p w14:paraId="4EA061B3" w14:textId="4029C8CF" w:rsidR="003F7586" w:rsidRPr="001025FE" w:rsidRDefault="003F7586" w:rsidP="003F7586">
            <w:pPr>
              <w:ind w:right="-92"/>
              <w:rPr>
                <w:rFonts w:cs="Arial"/>
                <w:sz w:val="16"/>
                <w:szCs w:val="16"/>
              </w:rPr>
            </w:pPr>
            <w:r w:rsidRPr="001025FE">
              <w:rPr>
                <w:rFonts w:cs="Arial"/>
                <w:sz w:val="16"/>
                <w:szCs w:val="16"/>
              </w:rPr>
              <w:t xml:space="preserve">All members of the Senior </w:t>
            </w:r>
            <w:r>
              <w:rPr>
                <w:rFonts w:cs="Arial"/>
                <w:sz w:val="16"/>
                <w:szCs w:val="16"/>
              </w:rPr>
              <w:t>Leadership</w:t>
            </w:r>
            <w:r w:rsidRPr="001025FE">
              <w:rPr>
                <w:rFonts w:cs="Arial"/>
                <w:sz w:val="16"/>
                <w:szCs w:val="16"/>
              </w:rPr>
              <w:t xml:space="preserve"> Team</w:t>
            </w:r>
          </w:p>
        </w:tc>
        <w:tc>
          <w:tcPr>
            <w:tcW w:w="925" w:type="pct"/>
            <w:noWrap/>
            <w:vAlign w:val="center"/>
          </w:tcPr>
          <w:p w14:paraId="79D0EBA9" w14:textId="1E097FD9" w:rsidR="003F7586" w:rsidRPr="001025FE" w:rsidRDefault="003F7586" w:rsidP="003F7586">
            <w:pPr>
              <w:ind w:left="-15"/>
              <w:rPr>
                <w:rFonts w:cs="Arial"/>
                <w:sz w:val="16"/>
                <w:szCs w:val="16"/>
              </w:rPr>
            </w:pPr>
            <w:r w:rsidRPr="001025FE">
              <w:rPr>
                <w:rFonts w:cs="Arial"/>
                <w:sz w:val="16"/>
                <w:szCs w:val="16"/>
              </w:rPr>
              <w:t>Up to £10 million</w:t>
            </w:r>
          </w:p>
        </w:tc>
      </w:tr>
      <w:tr w:rsidR="003F7586" w:rsidRPr="001025FE" w14:paraId="11AD49F7" w14:textId="77777777" w:rsidTr="000D59CE">
        <w:trPr>
          <w:trHeight w:val="20"/>
        </w:trPr>
        <w:tc>
          <w:tcPr>
            <w:tcW w:w="877" w:type="pct"/>
            <w:vMerge/>
          </w:tcPr>
          <w:p w14:paraId="3ECE3480" w14:textId="77777777" w:rsidR="003F7586" w:rsidRPr="001025FE" w:rsidRDefault="003F7586" w:rsidP="003F7586">
            <w:pPr>
              <w:ind w:right="-105"/>
              <w:rPr>
                <w:rFonts w:cs="Arial"/>
                <w:b/>
                <w:bCs/>
                <w:sz w:val="16"/>
                <w:szCs w:val="16"/>
              </w:rPr>
            </w:pPr>
          </w:p>
        </w:tc>
        <w:tc>
          <w:tcPr>
            <w:tcW w:w="1066" w:type="pct"/>
            <w:vMerge/>
          </w:tcPr>
          <w:p w14:paraId="07C0DB56" w14:textId="77777777" w:rsidR="003F7586" w:rsidRPr="001025FE" w:rsidRDefault="003F7586" w:rsidP="003F7586">
            <w:pPr>
              <w:ind w:left="91" w:right="-39"/>
              <w:rPr>
                <w:rFonts w:cs="Arial"/>
                <w:b/>
                <w:bCs/>
                <w:sz w:val="16"/>
                <w:szCs w:val="16"/>
              </w:rPr>
            </w:pPr>
          </w:p>
        </w:tc>
        <w:tc>
          <w:tcPr>
            <w:tcW w:w="1066" w:type="pct"/>
            <w:vMerge/>
            <w:noWrap/>
            <w:vAlign w:val="center"/>
          </w:tcPr>
          <w:p w14:paraId="0CAB14A3" w14:textId="77777777" w:rsidR="003F7586" w:rsidRPr="001025FE" w:rsidRDefault="003F7586" w:rsidP="003F7586">
            <w:pPr>
              <w:ind w:left="6" w:right="6"/>
              <w:rPr>
                <w:rFonts w:cs="Arial"/>
                <w:sz w:val="16"/>
                <w:szCs w:val="16"/>
              </w:rPr>
            </w:pPr>
          </w:p>
        </w:tc>
        <w:tc>
          <w:tcPr>
            <w:tcW w:w="1066" w:type="pct"/>
            <w:noWrap/>
            <w:vAlign w:val="center"/>
          </w:tcPr>
          <w:p w14:paraId="1A437301" w14:textId="6D7A68B8" w:rsidR="003F7586" w:rsidRPr="001025FE" w:rsidRDefault="003F7586" w:rsidP="003F7586">
            <w:pPr>
              <w:ind w:right="-92"/>
              <w:rPr>
                <w:rFonts w:cs="Arial"/>
                <w:sz w:val="16"/>
                <w:szCs w:val="16"/>
              </w:rPr>
            </w:pPr>
            <w:r w:rsidRPr="001025FE">
              <w:rPr>
                <w:rFonts w:cs="Arial"/>
                <w:sz w:val="16"/>
                <w:szCs w:val="16"/>
              </w:rPr>
              <w:t>Finance Managers Grade 9</w:t>
            </w:r>
          </w:p>
        </w:tc>
        <w:tc>
          <w:tcPr>
            <w:tcW w:w="925" w:type="pct"/>
            <w:noWrap/>
            <w:vAlign w:val="center"/>
          </w:tcPr>
          <w:p w14:paraId="08E9C3E7" w14:textId="77777777" w:rsidR="003F7586" w:rsidRDefault="003F7586" w:rsidP="003F7586">
            <w:pPr>
              <w:ind w:left="-15"/>
              <w:rPr>
                <w:rFonts w:cs="Arial"/>
                <w:sz w:val="16"/>
                <w:szCs w:val="16"/>
              </w:rPr>
            </w:pPr>
            <w:r w:rsidRPr="001025FE">
              <w:rPr>
                <w:rFonts w:cs="Arial"/>
                <w:sz w:val="16"/>
                <w:szCs w:val="16"/>
              </w:rPr>
              <w:t>Up to £250,000</w:t>
            </w:r>
            <w:r>
              <w:rPr>
                <w:rFonts w:cs="Arial"/>
                <w:sz w:val="16"/>
                <w:szCs w:val="16"/>
              </w:rPr>
              <w:t xml:space="preserve"> for payments to third parties and,</w:t>
            </w:r>
          </w:p>
          <w:p w14:paraId="289FB346" w14:textId="0C10403A" w:rsidR="003F7586" w:rsidRPr="001025FE" w:rsidRDefault="003F7586" w:rsidP="003F7586">
            <w:pPr>
              <w:ind w:left="-15"/>
              <w:rPr>
                <w:rFonts w:cs="Arial"/>
                <w:sz w:val="16"/>
                <w:szCs w:val="16"/>
              </w:rPr>
            </w:pPr>
            <w:r>
              <w:rPr>
                <w:rFonts w:cs="Arial"/>
                <w:sz w:val="16"/>
                <w:szCs w:val="16"/>
              </w:rPr>
              <w:t>Up to £5 million for transfers between University bank accounts</w:t>
            </w:r>
          </w:p>
        </w:tc>
      </w:tr>
      <w:tr w:rsidR="003F7586" w:rsidRPr="001025FE" w14:paraId="6D3AE320" w14:textId="77777777" w:rsidTr="000D59CE">
        <w:trPr>
          <w:trHeight w:val="20"/>
        </w:trPr>
        <w:tc>
          <w:tcPr>
            <w:tcW w:w="877" w:type="pct"/>
            <w:vMerge/>
          </w:tcPr>
          <w:p w14:paraId="3FFB51C9" w14:textId="77777777" w:rsidR="003F7586" w:rsidRPr="001025FE" w:rsidRDefault="003F7586" w:rsidP="003F7586">
            <w:pPr>
              <w:ind w:right="-105"/>
              <w:rPr>
                <w:rFonts w:cs="Arial"/>
                <w:b/>
                <w:bCs/>
                <w:sz w:val="16"/>
                <w:szCs w:val="16"/>
              </w:rPr>
            </w:pPr>
          </w:p>
        </w:tc>
        <w:tc>
          <w:tcPr>
            <w:tcW w:w="1066" w:type="pct"/>
            <w:vMerge/>
          </w:tcPr>
          <w:p w14:paraId="277D69AF" w14:textId="77777777" w:rsidR="003F7586" w:rsidRPr="001025FE" w:rsidRDefault="003F7586" w:rsidP="003F7586">
            <w:pPr>
              <w:ind w:left="91" w:right="-39"/>
              <w:rPr>
                <w:rFonts w:cs="Arial"/>
                <w:b/>
                <w:bCs/>
                <w:sz w:val="16"/>
                <w:szCs w:val="16"/>
              </w:rPr>
            </w:pPr>
          </w:p>
        </w:tc>
        <w:tc>
          <w:tcPr>
            <w:tcW w:w="1066" w:type="pct"/>
            <w:vMerge/>
            <w:noWrap/>
            <w:vAlign w:val="center"/>
          </w:tcPr>
          <w:p w14:paraId="114C1400" w14:textId="77777777" w:rsidR="003F7586" w:rsidRPr="001025FE" w:rsidRDefault="003F7586" w:rsidP="003F7586">
            <w:pPr>
              <w:ind w:left="6" w:right="6"/>
              <w:rPr>
                <w:rFonts w:cs="Arial"/>
                <w:sz w:val="16"/>
                <w:szCs w:val="16"/>
              </w:rPr>
            </w:pPr>
          </w:p>
        </w:tc>
        <w:tc>
          <w:tcPr>
            <w:tcW w:w="1066" w:type="pct"/>
            <w:noWrap/>
            <w:vAlign w:val="center"/>
          </w:tcPr>
          <w:p w14:paraId="2EA80B09" w14:textId="667C9B67" w:rsidR="003F7586" w:rsidRPr="001025FE" w:rsidRDefault="003F7586" w:rsidP="003F7586">
            <w:pPr>
              <w:ind w:right="-92"/>
              <w:rPr>
                <w:rFonts w:cs="Arial"/>
                <w:sz w:val="16"/>
                <w:szCs w:val="16"/>
              </w:rPr>
            </w:pPr>
            <w:r w:rsidRPr="001025FE">
              <w:rPr>
                <w:rFonts w:cs="Arial"/>
                <w:sz w:val="16"/>
                <w:szCs w:val="16"/>
              </w:rPr>
              <w:t>Finance Managers Grade 8</w:t>
            </w:r>
          </w:p>
        </w:tc>
        <w:tc>
          <w:tcPr>
            <w:tcW w:w="925" w:type="pct"/>
            <w:noWrap/>
            <w:vAlign w:val="center"/>
          </w:tcPr>
          <w:p w14:paraId="7FBC133C" w14:textId="5562B04F" w:rsidR="003F7586" w:rsidRPr="001025FE" w:rsidRDefault="003F7586" w:rsidP="003F7586">
            <w:pPr>
              <w:ind w:left="-15"/>
              <w:rPr>
                <w:rFonts w:cs="Arial"/>
                <w:sz w:val="16"/>
                <w:szCs w:val="16"/>
              </w:rPr>
            </w:pPr>
            <w:r w:rsidRPr="001025FE">
              <w:rPr>
                <w:rFonts w:cs="Arial"/>
                <w:sz w:val="16"/>
                <w:szCs w:val="16"/>
              </w:rPr>
              <w:t>Up to £50,000</w:t>
            </w:r>
          </w:p>
        </w:tc>
      </w:tr>
      <w:tr w:rsidR="003F7586" w:rsidRPr="001025FE" w14:paraId="3C09FE91" w14:textId="77777777" w:rsidTr="000D59CE">
        <w:trPr>
          <w:trHeight w:val="20"/>
        </w:trPr>
        <w:tc>
          <w:tcPr>
            <w:tcW w:w="877" w:type="pct"/>
            <w:vMerge/>
          </w:tcPr>
          <w:p w14:paraId="0728260F" w14:textId="77777777" w:rsidR="003F7586" w:rsidRPr="001025FE" w:rsidRDefault="003F7586" w:rsidP="003F7586">
            <w:pPr>
              <w:ind w:right="-105"/>
              <w:rPr>
                <w:rFonts w:cs="Arial"/>
                <w:b/>
                <w:bCs/>
                <w:sz w:val="16"/>
                <w:szCs w:val="16"/>
              </w:rPr>
            </w:pPr>
          </w:p>
        </w:tc>
        <w:tc>
          <w:tcPr>
            <w:tcW w:w="1066" w:type="pct"/>
            <w:noWrap/>
          </w:tcPr>
          <w:p w14:paraId="2A48C26D" w14:textId="4612A422" w:rsidR="003F7586" w:rsidRPr="001025FE" w:rsidRDefault="003F7586" w:rsidP="003F7586">
            <w:pPr>
              <w:ind w:left="91" w:right="-39"/>
              <w:rPr>
                <w:rFonts w:cs="Arial"/>
                <w:b/>
                <w:bCs/>
                <w:sz w:val="16"/>
                <w:szCs w:val="16"/>
              </w:rPr>
            </w:pPr>
            <w:r w:rsidRPr="001025FE">
              <w:rPr>
                <w:rFonts w:cs="Arial"/>
                <w:b/>
                <w:bCs/>
                <w:sz w:val="16"/>
                <w:szCs w:val="16"/>
              </w:rPr>
              <w:t>New bank accounts</w:t>
            </w:r>
          </w:p>
        </w:tc>
        <w:tc>
          <w:tcPr>
            <w:tcW w:w="1066" w:type="pct"/>
            <w:noWrap/>
          </w:tcPr>
          <w:p w14:paraId="4457932F" w14:textId="542F9999" w:rsidR="003F7586" w:rsidRPr="001025FE" w:rsidRDefault="003F7586" w:rsidP="003F7586">
            <w:pPr>
              <w:ind w:left="6" w:right="6"/>
              <w:rPr>
                <w:rFonts w:cs="Arial"/>
                <w:sz w:val="16"/>
                <w:szCs w:val="16"/>
              </w:rPr>
            </w:pPr>
            <w:r w:rsidRPr="001025FE">
              <w:rPr>
                <w:rFonts w:cs="Arial"/>
                <w:sz w:val="16"/>
                <w:szCs w:val="16"/>
              </w:rPr>
              <w:t>To open a new bank account</w:t>
            </w:r>
          </w:p>
        </w:tc>
        <w:tc>
          <w:tcPr>
            <w:tcW w:w="1066" w:type="pct"/>
            <w:vAlign w:val="center"/>
          </w:tcPr>
          <w:p w14:paraId="6EB645C4" w14:textId="2A033808" w:rsidR="003F7586" w:rsidRPr="001025FE" w:rsidRDefault="003F7586" w:rsidP="003F7586">
            <w:pPr>
              <w:ind w:right="-92"/>
              <w:rPr>
                <w:rFonts w:cs="Arial"/>
                <w:sz w:val="16"/>
                <w:szCs w:val="16"/>
              </w:rPr>
            </w:pPr>
            <w:r w:rsidRPr="001025FE">
              <w:rPr>
                <w:rFonts w:cs="Arial"/>
                <w:sz w:val="16"/>
                <w:szCs w:val="16"/>
              </w:rPr>
              <w:t xml:space="preserve">Both the Chief Finance Officer and one other member of the Senior </w:t>
            </w:r>
            <w:r>
              <w:rPr>
                <w:rFonts w:cs="Arial"/>
                <w:sz w:val="16"/>
                <w:szCs w:val="16"/>
              </w:rPr>
              <w:t>Leadership</w:t>
            </w:r>
            <w:r w:rsidRPr="001025FE">
              <w:rPr>
                <w:rFonts w:cs="Arial"/>
                <w:sz w:val="16"/>
                <w:szCs w:val="16"/>
              </w:rPr>
              <w:t xml:space="preserve"> Team</w:t>
            </w:r>
          </w:p>
        </w:tc>
        <w:tc>
          <w:tcPr>
            <w:tcW w:w="925" w:type="pct"/>
            <w:noWrap/>
            <w:vAlign w:val="center"/>
          </w:tcPr>
          <w:p w14:paraId="619F6C48" w14:textId="58894713" w:rsidR="003F7586" w:rsidRPr="001025FE" w:rsidRDefault="003F7586" w:rsidP="003F7586">
            <w:pPr>
              <w:ind w:left="-15"/>
              <w:rPr>
                <w:rFonts w:cs="Arial"/>
                <w:sz w:val="16"/>
                <w:szCs w:val="16"/>
              </w:rPr>
            </w:pPr>
            <w:r w:rsidRPr="001025FE">
              <w:rPr>
                <w:rFonts w:cs="Arial"/>
                <w:sz w:val="16"/>
                <w:szCs w:val="16"/>
              </w:rPr>
              <w:t>N/A</w:t>
            </w:r>
          </w:p>
        </w:tc>
      </w:tr>
      <w:tr w:rsidR="003F7586" w:rsidRPr="001025FE" w14:paraId="4B56572B" w14:textId="77777777" w:rsidTr="000D59CE">
        <w:trPr>
          <w:trHeight w:val="20"/>
        </w:trPr>
        <w:tc>
          <w:tcPr>
            <w:tcW w:w="877" w:type="pct"/>
            <w:vMerge/>
          </w:tcPr>
          <w:p w14:paraId="6677D68B" w14:textId="77777777" w:rsidR="003F7586" w:rsidRPr="001025FE" w:rsidRDefault="003F7586" w:rsidP="003F7586">
            <w:pPr>
              <w:ind w:right="-105"/>
              <w:rPr>
                <w:rFonts w:cs="Arial"/>
                <w:b/>
                <w:bCs/>
                <w:sz w:val="16"/>
                <w:szCs w:val="16"/>
              </w:rPr>
            </w:pPr>
          </w:p>
        </w:tc>
        <w:tc>
          <w:tcPr>
            <w:tcW w:w="1066" w:type="pct"/>
            <w:noWrap/>
          </w:tcPr>
          <w:p w14:paraId="1E6E727B" w14:textId="25787846" w:rsidR="003F7586" w:rsidRPr="001025FE" w:rsidRDefault="003F7586" w:rsidP="003F7586">
            <w:pPr>
              <w:ind w:left="91" w:right="-39"/>
              <w:rPr>
                <w:rFonts w:cs="Arial"/>
                <w:b/>
                <w:bCs/>
                <w:sz w:val="16"/>
                <w:szCs w:val="16"/>
              </w:rPr>
            </w:pPr>
            <w:r w:rsidRPr="001025FE">
              <w:rPr>
                <w:rFonts w:cs="Arial"/>
                <w:b/>
                <w:bCs/>
                <w:sz w:val="16"/>
                <w:szCs w:val="16"/>
              </w:rPr>
              <w:t>Set-up/amendments to the bank mandate</w:t>
            </w:r>
          </w:p>
        </w:tc>
        <w:tc>
          <w:tcPr>
            <w:tcW w:w="1066" w:type="pct"/>
            <w:vAlign w:val="center"/>
          </w:tcPr>
          <w:p w14:paraId="0E2AA650" w14:textId="4AF25B09" w:rsidR="003F7586" w:rsidRPr="001025FE" w:rsidRDefault="003F7586" w:rsidP="003F7586">
            <w:pPr>
              <w:ind w:left="6" w:right="6"/>
              <w:rPr>
                <w:rFonts w:cs="Arial"/>
                <w:sz w:val="16"/>
                <w:szCs w:val="16"/>
              </w:rPr>
            </w:pPr>
            <w:r w:rsidRPr="001025FE">
              <w:rPr>
                <w:rFonts w:cs="Arial"/>
                <w:sz w:val="16"/>
                <w:szCs w:val="16"/>
              </w:rPr>
              <w:t>To approve set-up and changes to the bank mandate</w:t>
            </w:r>
          </w:p>
        </w:tc>
        <w:tc>
          <w:tcPr>
            <w:tcW w:w="1066" w:type="pct"/>
            <w:vAlign w:val="center"/>
          </w:tcPr>
          <w:p w14:paraId="153B056F" w14:textId="4E9B4182" w:rsidR="003F7586" w:rsidRPr="001025FE" w:rsidRDefault="003F7586" w:rsidP="003F7586">
            <w:pPr>
              <w:ind w:right="-92"/>
              <w:rPr>
                <w:rFonts w:cs="Arial"/>
                <w:sz w:val="16"/>
                <w:szCs w:val="16"/>
              </w:rPr>
            </w:pPr>
            <w:r w:rsidRPr="001025FE">
              <w:rPr>
                <w:rFonts w:cs="Arial"/>
                <w:sz w:val="16"/>
                <w:szCs w:val="16"/>
              </w:rPr>
              <w:t>Both the Chair of the Board of Governors and the Vice Chancellor</w:t>
            </w:r>
          </w:p>
        </w:tc>
        <w:tc>
          <w:tcPr>
            <w:tcW w:w="925" w:type="pct"/>
            <w:noWrap/>
            <w:vAlign w:val="center"/>
          </w:tcPr>
          <w:p w14:paraId="144C39E9" w14:textId="352CFEE1" w:rsidR="003F7586" w:rsidRPr="001025FE" w:rsidRDefault="003F7586" w:rsidP="003F7586">
            <w:pPr>
              <w:ind w:left="-15"/>
              <w:rPr>
                <w:rFonts w:cs="Arial"/>
                <w:sz w:val="16"/>
                <w:szCs w:val="16"/>
              </w:rPr>
            </w:pPr>
            <w:r>
              <w:rPr>
                <w:rFonts w:cs="Arial"/>
                <w:sz w:val="16"/>
                <w:szCs w:val="16"/>
              </w:rPr>
              <w:t>N/A</w:t>
            </w:r>
          </w:p>
        </w:tc>
      </w:tr>
      <w:tr w:rsidR="003F7586" w:rsidRPr="001025FE" w14:paraId="0445DE9E" w14:textId="77777777" w:rsidTr="000D59CE">
        <w:trPr>
          <w:trHeight w:val="20"/>
        </w:trPr>
        <w:tc>
          <w:tcPr>
            <w:tcW w:w="877" w:type="pct"/>
            <w:vMerge/>
          </w:tcPr>
          <w:p w14:paraId="4A5AD6F3" w14:textId="77777777" w:rsidR="003F7586" w:rsidRPr="001025FE" w:rsidRDefault="003F7586" w:rsidP="003F7586">
            <w:pPr>
              <w:ind w:right="-105"/>
              <w:rPr>
                <w:rFonts w:cs="Arial"/>
                <w:b/>
                <w:bCs/>
                <w:sz w:val="16"/>
                <w:szCs w:val="16"/>
              </w:rPr>
            </w:pPr>
          </w:p>
        </w:tc>
        <w:tc>
          <w:tcPr>
            <w:tcW w:w="1066" w:type="pct"/>
            <w:vMerge w:val="restart"/>
            <w:noWrap/>
          </w:tcPr>
          <w:p w14:paraId="19F50950" w14:textId="1A3AD1BC" w:rsidR="003F7586" w:rsidRPr="001025FE" w:rsidRDefault="003F7586" w:rsidP="003F7586">
            <w:pPr>
              <w:ind w:left="91" w:right="-39"/>
              <w:rPr>
                <w:rFonts w:cs="Arial"/>
                <w:b/>
                <w:bCs/>
                <w:sz w:val="16"/>
                <w:szCs w:val="16"/>
              </w:rPr>
            </w:pPr>
            <w:r w:rsidRPr="001025FE">
              <w:rPr>
                <w:rFonts w:cs="Arial"/>
                <w:b/>
                <w:bCs/>
                <w:sz w:val="16"/>
                <w:szCs w:val="16"/>
              </w:rPr>
              <w:t>Bank Mandate</w:t>
            </w:r>
          </w:p>
        </w:tc>
        <w:tc>
          <w:tcPr>
            <w:tcW w:w="1066" w:type="pct"/>
            <w:vAlign w:val="center"/>
          </w:tcPr>
          <w:p w14:paraId="6872FE27" w14:textId="0127D09C" w:rsidR="003F7586" w:rsidRPr="001025FE" w:rsidRDefault="003F7586" w:rsidP="003F7586">
            <w:pPr>
              <w:ind w:left="6" w:right="6"/>
              <w:rPr>
                <w:rFonts w:cs="Arial"/>
                <w:sz w:val="16"/>
                <w:szCs w:val="16"/>
              </w:rPr>
            </w:pPr>
            <w:r w:rsidRPr="001025FE">
              <w:rPr>
                <w:rFonts w:cs="Arial"/>
                <w:sz w:val="16"/>
                <w:szCs w:val="16"/>
              </w:rPr>
              <w:t>To act as a Panel A signatory on the University bank mandate</w:t>
            </w:r>
          </w:p>
        </w:tc>
        <w:tc>
          <w:tcPr>
            <w:tcW w:w="1066" w:type="pct"/>
            <w:vAlign w:val="center"/>
          </w:tcPr>
          <w:p w14:paraId="1E8D11EF" w14:textId="6795E1EE" w:rsidR="003F7586" w:rsidRPr="001025FE" w:rsidRDefault="003F7586" w:rsidP="003F7586">
            <w:pPr>
              <w:ind w:right="-92"/>
              <w:rPr>
                <w:rFonts w:cs="Arial"/>
                <w:sz w:val="16"/>
                <w:szCs w:val="16"/>
              </w:rPr>
            </w:pPr>
            <w:r w:rsidRPr="001025FE">
              <w:rPr>
                <w:rFonts w:cs="Arial"/>
                <w:sz w:val="16"/>
                <w:szCs w:val="16"/>
              </w:rPr>
              <w:t xml:space="preserve">All members of the Senior </w:t>
            </w:r>
            <w:r>
              <w:rPr>
                <w:rFonts w:cs="Arial"/>
                <w:sz w:val="16"/>
                <w:szCs w:val="16"/>
              </w:rPr>
              <w:t>Leadership</w:t>
            </w:r>
            <w:r w:rsidRPr="001025FE">
              <w:rPr>
                <w:rFonts w:cs="Arial"/>
                <w:sz w:val="16"/>
                <w:szCs w:val="16"/>
              </w:rPr>
              <w:t xml:space="preserve"> Team and the Deputy CFO</w:t>
            </w:r>
          </w:p>
        </w:tc>
        <w:tc>
          <w:tcPr>
            <w:tcW w:w="925" w:type="pct"/>
            <w:noWrap/>
            <w:vAlign w:val="center"/>
          </w:tcPr>
          <w:p w14:paraId="24F5C9A7" w14:textId="7C09559A" w:rsidR="003F7586" w:rsidRPr="001025FE" w:rsidRDefault="003F7586" w:rsidP="003F7586">
            <w:pPr>
              <w:ind w:left="-15"/>
              <w:rPr>
                <w:rFonts w:cs="Arial"/>
                <w:sz w:val="16"/>
                <w:szCs w:val="16"/>
              </w:rPr>
            </w:pPr>
            <w:r w:rsidRPr="001025FE">
              <w:rPr>
                <w:rFonts w:cs="Arial"/>
                <w:sz w:val="16"/>
                <w:szCs w:val="16"/>
              </w:rPr>
              <w:t>N/A</w:t>
            </w:r>
          </w:p>
        </w:tc>
      </w:tr>
      <w:tr w:rsidR="003F7586" w:rsidRPr="001025FE" w14:paraId="7A3503E1" w14:textId="77777777" w:rsidTr="000D59CE">
        <w:trPr>
          <w:trHeight w:val="20"/>
        </w:trPr>
        <w:tc>
          <w:tcPr>
            <w:tcW w:w="877" w:type="pct"/>
            <w:vMerge/>
          </w:tcPr>
          <w:p w14:paraId="077A09CD" w14:textId="77777777" w:rsidR="003F7586" w:rsidRPr="001025FE" w:rsidRDefault="003F7586" w:rsidP="003F7586">
            <w:pPr>
              <w:ind w:right="-105"/>
              <w:rPr>
                <w:rFonts w:cs="Arial"/>
                <w:b/>
                <w:bCs/>
                <w:sz w:val="16"/>
                <w:szCs w:val="16"/>
              </w:rPr>
            </w:pPr>
          </w:p>
        </w:tc>
        <w:tc>
          <w:tcPr>
            <w:tcW w:w="1066" w:type="pct"/>
            <w:vMerge/>
          </w:tcPr>
          <w:p w14:paraId="6FD6AC00" w14:textId="77777777" w:rsidR="003F7586" w:rsidRPr="001025FE" w:rsidRDefault="003F7586" w:rsidP="003F7586">
            <w:pPr>
              <w:ind w:left="91" w:right="-39"/>
              <w:rPr>
                <w:rFonts w:cs="Arial"/>
                <w:b/>
                <w:bCs/>
                <w:sz w:val="16"/>
                <w:szCs w:val="16"/>
              </w:rPr>
            </w:pPr>
          </w:p>
        </w:tc>
        <w:tc>
          <w:tcPr>
            <w:tcW w:w="1066" w:type="pct"/>
            <w:vAlign w:val="center"/>
          </w:tcPr>
          <w:p w14:paraId="1991747D" w14:textId="044BC3C8" w:rsidR="003F7586" w:rsidRPr="001025FE" w:rsidRDefault="003F7586" w:rsidP="003F7586">
            <w:pPr>
              <w:ind w:left="6" w:right="6"/>
              <w:rPr>
                <w:rFonts w:cs="Arial"/>
                <w:sz w:val="16"/>
                <w:szCs w:val="16"/>
              </w:rPr>
            </w:pPr>
            <w:r w:rsidRPr="001025FE">
              <w:rPr>
                <w:rFonts w:cs="Arial"/>
                <w:sz w:val="16"/>
                <w:szCs w:val="16"/>
              </w:rPr>
              <w:t>To act as a Panel B signatory on the University bank mandate</w:t>
            </w:r>
          </w:p>
        </w:tc>
        <w:tc>
          <w:tcPr>
            <w:tcW w:w="1066" w:type="pct"/>
            <w:noWrap/>
            <w:vAlign w:val="center"/>
          </w:tcPr>
          <w:p w14:paraId="7C2E95E1" w14:textId="69A270EC" w:rsidR="003F7586" w:rsidRPr="001025FE" w:rsidRDefault="003F7586" w:rsidP="003F7586">
            <w:pPr>
              <w:ind w:right="-92"/>
              <w:rPr>
                <w:rFonts w:cs="Arial"/>
                <w:sz w:val="16"/>
                <w:szCs w:val="16"/>
              </w:rPr>
            </w:pPr>
            <w:r w:rsidRPr="001025FE">
              <w:rPr>
                <w:rFonts w:cs="Arial"/>
                <w:sz w:val="16"/>
                <w:szCs w:val="16"/>
              </w:rPr>
              <w:t>Finance Manager Grade 8 or above</w:t>
            </w:r>
          </w:p>
        </w:tc>
        <w:tc>
          <w:tcPr>
            <w:tcW w:w="925" w:type="pct"/>
            <w:noWrap/>
            <w:vAlign w:val="center"/>
          </w:tcPr>
          <w:p w14:paraId="2238DAF7" w14:textId="17D30074" w:rsidR="003F7586" w:rsidRPr="001025FE" w:rsidRDefault="003F7586" w:rsidP="003F7586">
            <w:pPr>
              <w:ind w:left="-15"/>
              <w:rPr>
                <w:rFonts w:cs="Arial"/>
                <w:sz w:val="16"/>
                <w:szCs w:val="16"/>
              </w:rPr>
            </w:pPr>
            <w:r w:rsidRPr="001025FE">
              <w:rPr>
                <w:rFonts w:cs="Arial"/>
                <w:sz w:val="16"/>
                <w:szCs w:val="16"/>
              </w:rPr>
              <w:t>N/A</w:t>
            </w:r>
          </w:p>
        </w:tc>
      </w:tr>
      <w:tr w:rsidR="003F7586" w:rsidRPr="001025FE" w14:paraId="3E57A831" w14:textId="77777777" w:rsidTr="000D59CE">
        <w:trPr>
          <w:trHeight w:val="20"/>
        </w:trPr>
        <w:tc>
          <w:tcPr>
            <w:tcW w:w="877" w:type="pct"/>
            <w:vMerge/>
          </w:tcPr>
          <w:p w14:paraId="5EE2B9E2" w14:textId="77777777" w:rsidR="003F7586" w:rsidRPr="001025FE" w:rsidRDefault="003F7586" w:rsidP="003F7586">
            <w:pPr>
              <w:ind w:right="-105"/>
              <w:rPr>
                <w:rFonts w:cs="Arial"/>
                <w:b/>
                <w:bCs/>
                <w:sz w:val="16"/>
                <w:szCs w:val="16"/>
              </w:rPr>
            </w:pPr>
          </w:p>
        </w:tc>
        <w:tc>
          <w:tcPr>
            <w:tcW w:w="1066" w:type="pct"/>
            <w:vMerge w:val="restart"/>
          </w:tcPr>
          <w:p w14:paraId="3B0209B7" w14:textId="14C51924" w:rsidR="003F7586" w:rsidRPr="001025FE" w:rsidRDefault="003F7586" w:rsidP="003F7586">
            <w:pPr>
              <w:ind w:left="91" w:right="-39"/>
              <w:rPr>
                <w:rFonts w:cs="Arial"/>
                <w:b/>
                <w:bCs/>
                <w:sz w:val="16"/>
                <w:szCs w:val="16"/>
              </w:rPr>
            </w:pPr>
            <w:r w:rsidRPr="001025FE">
              <w:rPr>
                <w:rFonts w:cs="Arial"/>
                <w:b/>
                <w:bCs/>
                <w:sz w:val="16"/>
                <w:szCs w:val="16"/>
              </w:rPr>
              <w:t>Cheque payments</w:t>
            </w:r>
            <w:r w:rsidRPr="001025FE">
              <w:rPr>
                <w:rFonts w:cs="Arial"/>
                <w:b/>
                <w:bCs/>
                <w:sz w:val="16"/>
                <w:szCs w:val="16"/>
              </w:rPr>
              <w:br/>
              <w:t>(two signatures required)</w:t>
            </w:r>
          </w:p>
        </w:tc>
        <w:tc>
          <w:tcPr>
            <w:tcW w:w="1066" w:type="pct"/>
            <w:vMerge w:val="restart"/>
            <w:noWrap/>
            <w:vAlign w:val="center"/>
          </w:tcPr>
          <w:p w14:paraId="7B9D0EC6" w14:textId="77777777" w:rsidR="003F7586" w:rsidRPr="001025FE" w:rsidRDefault="003F7586" w:rsidP="003F7586">
            <w:pPr>
              <w:ind w:left="6" w:right="6"/>
              <w:rPr>
                <w:rFonts w:cs="Arial"/>
                <w:sz w:val="16"/>
                <w:szCs w:val="16"/>
              </w:rPr>
            </w:pPr>
            <w:r w:rsidRPr="001025FE">
              <w:rPr>
                <w:rFonts w:cs="Arial"/>
                <w:sz w:val="16"/>
                <w:szCs w:val="16"/>
              </w:rPr>
              <w:t>To sign cheque payments</w:t>
            </w:r>
          </w:p>
          <w:p w14:paraId="7CB3591C" w14:textId="77777777" w:rsidR="003F7586" w:rsidRPr="001025FE" w:rsidRDefault="003F7586" w:rsidP="003F7586">
            <w:pPr>
              <w:ind w:left="6" w:right="6"/>
              <w:rPr>
                <w:rFonts w:cs="Arial"/>
                <w:sz w:val="16"/>
                <w:szCs w:val="16"/>
              </w:rPr>
            </w:pPr>
          </w:p>
        </w:tc>
        <w:tc>
          <w:tcPr>
            <w:tcW w:w="1066" w:type="pct"/>
            <w:noWrap/>
            <w:vAlign w:val="center"/>
          </w:tcPr>
          <w:p w14:paraId="076E722C" w14:textId="1B579CCB" w:rsidR="003F7586" w:rsidRPr="001025FE" w:rsidRDefault="003F7586" w:rsidP="003F7586">
            <w:pPr>
              <w:ind w:right="-92"/>
              <w:rPr>
                <w:rFonts w:cs="Arial"/>
                <w:sz w:val="16"/>
                <w:szCs w:val="16"/>
              </w:rPr>
            </w:pPr>
            <w:r w:rsidRPr="001025FE">
              <w:rPr>
                <w:rFonts w:cs="Arial"/>
                <w:sz w:val="16"/>
                <w:szCs w:val="16"/>
              </w:rPr>
              <w:t>At least one Panel A signatory</w:t>
            </w:r>
          </w:p>
        </w:tc>
        <w:tc>
          <w:tcPr>
            <w:tcW w:w="925" w:type="pct"/>
            <w:noWrap/>
            <w:vAlign w:val="center"/>
          </w:tcPr>
          <w:p w14:paraId="331EC426" w14:textId="0B26D138" w:rsidR="003F7586" w:rsidRPr="001025FE" w:rsidRDefault="003F7586" w:rsidP="003F7586">
            <w:pPr>
              <w:ind w:left="-15"/>
              <w:rPr>
                <w:rFonts w:cs="Arial"/>
                <w:sz w:val="16"/>
                <w:szCs w:val="16"/>
              </w:rPr>
            </w:pPr>
            <w:r w:rsidRPr="001025FE">
              <w:rPr>
                <w:rFonts w:cs="Arial"/>
                <w:sz w:val="16"/>
                <w:szCs w:val="16"/>
              </w:rPr>
              <w:t>Unlimited</w:t>
            </w:r>
          </w:p>
        </w:tc>
      </w:tr>
      <w:tr w:rsidR="003F7586" w:rsidRPr="001025FE" w14:paraId="0CBB490F" w14:textId="77777777" w:rsidTr="000D59CE">
        <w:trPr>
          <w:trHeight w:val="20"/>
        </w:trPr>
        <w:tc>
          <w:tcPr>
            <w:tcW w:w="877" w:type="pct"/>
            <w:vMerge/>
          </w:tcPr>
          <w:p w14:paraId="43DC3718" w14:textId="77777777" w:rsidR="003F7586" w:rsidRPr="001025FE" w:rsidRDefault="003F7586" w:rsidP="003F7586">
            <w:pPr>
              <w:ind w:right="-105"/>
              <w:rPr>
                <w:rFonts w:cs="Arial"/>
                <w:b/>
                <w:bCs/>
                <w:sz w:val="16"/>
                <w:szCs w:val="16"/>
              </w:rPr>
            </w:pPr>
          </w:p>
        </w:tc>
        <w:tc>
          <w:tcPr>
            <w:tcW w:w="1066" w:type="pct"/>
            <w:vMerge/>
          </w:tcPr>
          <w:p w14:paraId="723A5EA5" w14:textId="77777777" w:rsidR="003F7586" w:rsidRPr="001025FE" w:rsidRDefault="003F7586" w:rsidP="003F7586">
            <w:pPr>
              <w:ind w:left="91" w:right="-39"/>
              <w:rPr>
                <w:rFonts w:cs="Arial"/>
                <w:b/>
                <w:bCs/>
                <w:sz w:val="16"/>
                <w:szCs w:val="16"/>
              </w:rPr>
            </w:pPr>
          </w:p>
        </w:tc>
        <w:tc>
          <w:tcPr>
            <w:tcW w:w="1066" w:type="pct"/>
            <w:vMerge/>
            <w:noWrap/>
            <w:vAlign w:val="center"/>
          </w:tcPr>
          <w:p w14:paraId="444DD25B" w14:textId="77777777" w:rsidR="003F7586" w:rsidRPr="001025FE" w:rsidRDefault="003F7586" w:rsidP="003F7586">
            <w:pPr>
              <w:ind w:left="6" w:right="6"/>
              <w:rPr>
                <w:rFonts w:cs="Arial"/>
                <w:sz w:val="16"/>
                <w:szCs w:val="16"/>
              </w:rPr>
            </w:pPr>
          </w:p>
        </w:tc>
        <w:tc>
          <w:tcPr>
            <w:tcW w:w="1066" w:type="pct"/>
            <w:noWrap/>
            <w:vAlign w:val="center"/>
          </w:tcPr>
          <w:p w14:paraId="788BD4FB" w14:textId="6B351108" w:rsidR="003F7586" w:rsidRPr="001025FE" w:rsidRDefault="003F7586" w:rsidP="003F7586">
            <w:pPr>
              <w:ind w:right="-92"/>
              <w:rPr>
                <w:rFonts w:cs="Arial"/>
                <w:sz w:val="16"/>
                <w:szCs w:val="16"/>
              </w:rPr>
            </w:pPr>
            <w:r w:rsidRPr="001025FE">
              <w:rPr>
                <w:rFonts w:cs="Arial"/>
                <w:sz w:val="16"/>
                <w:szCs w:val="16"/>
              </w:rPr>
              <w:t>Two panel B signatories</w:t>
            </w:r>
          </w:p>
        </w:tc>
        <w:tc>
          <w:tcPr>
            <w:tcW w:w="925" w:type="pct"/>
            <w:noWrap/>
            <w:vAlign w:val="center"/>
          </w:tcPr>
          <w:p w14:paraId="27769EEA" w14:textId="6DDB48E1" w:rsidR="003F7586" w:rsidRPr="001025FE" w:rsidRDefault="003F7586" w:rsidP="003F7586">
            <w:pPr>
              <w:ind w:left="-15"/>
              <w:rPr>
                <w:rFonts w:cs="Arial"/>
                <w:sz w:val="16"/>
                <w:szCs w:val="16"/>
              </w:rPr>
            </w:pPr>
            <w:r w:rsidRPr="001025FE">
              <w:rPr>
                <w:rFonts w:cs="Arial"/>
                <w:sz w:val="16"/>
                <w:szCs w:val="16"/>
              </w:rPr>
              <w:t>Up to £50,000</w:t>
            </w:r>
          </w:p>
        </w:tc>
      </w:tr>
      <w:tr w:rsidR="00F72C3B" w:rsidRPr="001025FE" w14:paraId="62628634" w14:textId="77777777" w:rsidTr="000D59CE">
        <w:trPr>
          <w:trHeight w:val="20"/>
        </w:trPr>
        <w:tc>
          <w:tcPr>
            <w:tcW w:w="877" w:type="pct"/>
            <w:vMerge w:val="restart"/>
            <w:noWrap/>
          </w:tcPr>
          <w:p w14:paraId="07EE73F5" w14:textId="77777777" w:rsidR="00F72C3B" w:rsidRPr="001025FE" w:rsidRDefault="00F72C3B" w:rsidP="000D59CE">
            <w:pPr>
              <w:ind w:right="-105"/>
              <w:rPr>
                <w:rFonts w:cs="Arial"/>
                <w:b/>
                <w:bCs/>
                <w:sz w:val="16"/>
                <w:szCs w:val="16"/>
              </w:rPr>
            </w:pPr>
            <w:r w:rsidRPr="001025FE">
              <w:rPr>
                <w:rFonts w:cs="Arial"/>
                <w:b/>
                <w:bCs/>
                <w:sz w:val="16"/>
                <w:szCs w:val="16"/>
              </w:rPr>
              <w:t>Sales Ledger</w:t>
            </w:r>
          </w:p>
        </w:tc>
        <w:tc>
          <w:tcPr>
            <w:tcW w:w="1066" w:type="pct"/>
            <w:vMerge w:val="restart"/>
            <w:noWrap/>
          </w:tcPr>
          <w:p w14:paraId="61E3379F" w14:textId="77777777" w:rsidR="00F72C3B" w:rsidRPr="001025FE" w:rsidRDefault="00F72C3B" w:rsidP="000D59CE">
            <w:pPr>
              <w:ind w:right="-39"/>
              <w:rPr>
                <w:rFonts w:cs="Arial"/>
                <w:b/>
                <w:bCs/>
                <w:sz w:val="16"/>
                <w:szCs w:val="16"/>
              </w:rPr>
            </w:pPr>
            <w:r w:rsidRPr="001025FE">
              <w:rPr>
                <w:rFonts w:cs="Arial"/>
                <w:b/>
                <w:bCs/>
                <w:sz w:val="16"/>
                <w:szCs w:val="16"/>
              </w:rPr>
              <w:t>Sales Ledger Refunds</w:t>
            </w:r>
          </w:p>
        </w:tc>
        <w:tc>
          <w:tcPr>
            <w:tcW w:w="1066" w:type="pct"/>
            <w:vMerge w:val="restart"/>
            <w:noWrap/>
          </w:tcPr>
          <w:p w14:paraId="64D9C2C0" w14:textId="77777777" w:rsidR="00F72C3B" w:rsidRPr="001025FE" w:rsidRDefault="00F72C3B" w:rsidP="000D59CE">
            <w:pPr>
              <w:ind w:left="6" w:right="6"/>
              <w:rPr>
                <w:rFonts w:cs="Arial"/>
                <w:sz w:val="16"/>
                <w:szCs w:val="16"/>
              </w:rPr>
            </w:pPr>
            <w:r w:rsidRPr="001025FE">
              <w:rPr>
                <w:rFonts w:cs="Arial"/>
                <w:sz w:val="16"/>
                <w:szCs w:val="16"/>
              </w:rPr>
              <w:t>To approve refunds for payment</w:t>
            </w:r>
          </w:p>
          <w:p w14:paraId="1111207C" w14:textId="77777777" w:rsidR="00F72C3B" w:rsidRPr="001025FE" w:rsidRDefault="00F72C3B" w:rsidP="000D59CE">
            <w:pPr>
              <w:ind w:left="6" w:right="6"/>
              <w:rPr>
                <w:rFonts w:cs="Arial"/>
                <w:sz w:val="16"/>
                <w:szCs w:val="16"/>
              </w:rPr>
            </w:pPr>
          </w:p>
        </w:tc>
        <w:tc>
          <w:tcPr>
            <w:tcW w:w="1066" w:type="pct"/>
            <w:noWrap/>
            <w:vAlign w:val="center"/>
          </w:tcPr>
          <w:p w14:paraId="5917FBA1" w14:textId="77777777" w:rsidR="00F72C3B" w:rsidRPr="001025FE" w:rsidRDefault="00F72C3B" w:rsidP="000D59CE">
            <w:pPr>
              <w:ind w:right="-92"/>
              <w:rPr>
                <w:rFonts w:cs="Arial"/>
                <w:sz w:val="16"/>
                <w:szCs w:val="16"/>
              </w:rPr>
            </w:pPr>
            <w:r w:rsidRPr="001025FE">
              <w:rPr>
                <w:rFonts w:cs="Arial"/>
                <w:sz w:val="16"/>
                <w:szCs w:val="16"/>
              </w:rPr>
              <w:t>Finance Manager Grade 7</w:t>
            </w:r>
          </w:p>
        </w:tc>
        <w:tc>
          <w:tcPr>
            <w:tcW w:w="925" w:type="pct"/>
            <w:noWrap/>
            <w:vAlign w:val="center"/>
          </w:tcPr>
          <w:p w14:paraId="081D2D61" w14:textId="77777777" w:rsidR="00F72C3B" w:rsidRPr="001025FE" w:rsidRDefault="00F72C3B" w:rsidP="000D59CE">
            <w:pPr>
              <w:ind w:left="-15"/>
              <w:rPr>
                <w:rFonts w:cs="Arial"/>
                <w:sz w:val="16"/>
                <w:szCs w:val="16"/>
              </w:rPr>
            </w:pPr>
            <w:r w:rsidRPr="001025FE">
              <w:rPr>
                <w:rFonts w:cs="Arial"/>
                <w:sz w:val="16"/>
                <w:szCs w:val="16"/>
              </w:rPr>
              <w:t>Up to £1,000</w:t>
            </w:r>
          </w:p>
        </w:tc>
      </w:tr>
      <w:tr w:rsidR="00F72C3B" w:rsidRPr="001025FE" w14:paraId="6C430196" w14:textId="77777777" w:rsidTr="000D59CE">
        <w:trPr>
          <w:trHeight w:val="20"/>
        </w:trPr>
        <w:tc>
          <w:tcPr>
            <w:tcW w:w="877" w:type="pct"/>
            <w:vMerge/>
          </w:tcPr>
          <w:p w14:paraId="78C359EB" w14:textId="77777777" w:rsidR="00F72C3B" w:rsidRPr="001025FE" w:rsidRDefault="00F72C3B" w:rsidP="000D59CE">
            <w:pPr>
              <w:ind w:right="-105"/>
              <w:rPr>
                <w:rFonts w:cs="Arial"/>
                <w:b/>
                <w:bCs/>
                <w:sz w:val="16"/>
                <w:szCs w:val="16"/>
              </w:rPr>
            </w:pPr>
          </w:p>
        </w:tc>
        <w:tc>
          <w:tcPr>
            <w:tcW w:w="1066" w:type="pct"/>
            <w:vMerge/>
          </w:tcPr>
          <w:p w14:paraId="795D9530" w14:textId="77777777" w:rsidR="00F72C3B" w:rsidRPr="001025FE" w:rsidRDefault="00F72C3B" w:rsidP="000D59CE">
            <w:pPr>
              <w:ind w:left="91" w:right="-39"/>
              <w:rPr>
                <w:rFonts w:cs="Arial"/>
                <w:b/>
                <w:bCs/>
                <w:sz w:val="16"/>
                <w:szCs w:val="16"/>
              </w:rPr>
            </w:pPr>
          </w:p>
        </w:tc>
        <w:tc>
          <w:tcPr>
            <w:tcW w:w="1066" w:type="pct"/>
            <w:vMerge/>
            <w:noWrap/>
          </w:tcPr>
          <w:p w14:paraId="1631465B" w14:textId="77777777" w:rsidR="00F72C3B" w:rsidRPr="001025FE" w:rsidRDefault="00F72C3B" w:rsidP="000D59CE">
            <w:pPr>
              <w:ind w:left="6" w:right="6"/>
              <w:rPr>
                <w:rFonts w:cs="Arial"/>
                <w:sz w:val="16"/>
                <w:szCs w:val="16"/>
              </w:rPr>
            </w:pPr>
          </w:p>
        </w:tc>
        <w:tc>
          <w:tcPr>
            <w:tcW w:w="1066" w:type="pct"/>
            <w:noWrap/>
            <w:vAlign w:val="center"/>
          </w:tcPr>
          <w:p w14:paraId="7B64C488" w14:textId="77777777" w:rsidR="00F72C3B" w:rsidRPr="001025FE" w:rsidRDefault="00F72C3B" w:rsidP="000D59CE">
            <w:pPr>
              <w:ind w:right="-92"/>
              <w:rPr>
                <w:rFonts w:cs="Arial"/>
                <w:sz w:val="16"/>
                <w:szCs w:val="16"/>
              </w:rPr>
            </w:pPr>
            <w:r w:rsidRPr="001025FE">
              <w:rPr>
                <w:rFonts w:cs="Arial"/>
                <w:sz w:val="16"/>
                <w:szCs w:val="16"/>
              </w:rPr>
              <w:t>Finance Manager Grade 8 and 9</w:t>
            </w:r>
          </w:p>
        </w:tc>
        <w:tc>
          <w:tcPr>
            <w:tcW w:w="925" w:type="pct"/>
            <w:noWrap/>
            <w:vAlign w:val="center"/>
          </w:tcPr>
          <w:p w14:paraId="63D48D71" w14:textId="77777777" w:rsidR="00F72C3B" w:rsidRPr="001025FE" w:rsidRDefault="00F72C3B" w:rsidP="000D59CE">
            <w:pPr>
              <w:ind w:left="-15"/>
              <w:rPr>
                <w:rFonts w:cs="Arial"/>
                <w:sz w:val="16"/>
                <w:szCs w:val="16"/>
              </w:rPr>
            </w:pPr>
            <w:r w:rsidRPr="001025FE">
              <w:rPr>
                <w:rFonts w:cs="Arial"/>
                <w:sz w:val="16"/>
                <w:szCs w:val="16"/>
              </w:rPr>
              <w:t>Up to £10,000</w:t>
            </w:r>
          </w:p>
        </w:tc>
      </w:tr>
      <w:tr w:rsidR="00F72C3B" w:rsidRPr="001025FE" w14:paraId="58D9D948" w14:textId="77777777" w:rsidTr="000D59CE">
        <w:trPr>
          <w:trHeight w:val="20"/>
        </w:trPr>
        <w:tc>
          <w:tcPr>
            <w:tcW w:w="877" w:type="pct"/>
            <w:vMerge/>
          </w:tcPr>
          <w:p w14:paraId="61A0DA04" w14:textId="77777777" w:rsidR="00F72C3B" w:rsidRPr="001025FE" w:rsidRDefault="00F72C3B" w:rsidP="000D59CE">
            <w:pPr>
              <w:ind w:right="-105"/>
              <w:rPr>
                <w:rFonts w:cs="Arial"/>
                <w:b/>
                <w:bCs/>
                <w:sz w:val="16"/>
                <w:szCs w:val="16"/>
              </w:rPr>
            </w:pPr>
          </w:p>
        </w:tc>
        <w:tc>
          <w:tcPr>
            <w:tcW w:w="1066" w:type="pct"/>
            <w:vMerge/>
          </w:tcPr>
          <w:p w14:paraId="72D8B579" w14:textId="77777777" w:rsidR="00F72C3B" w:rsidRPr="001025FE" w:rsidRDefault="00F72C3B" w:rsidP="000D59CE">
            <w:pPr>
              <w:ind w:left="91" w:right="-39"/>
              <w:rPr>
                <w:rFonts w:cs="Arial"/>
                <w:b/>
                <w:bCs/>
                <w:sz w:val="16"/>
                <w:szCs w:val="16"/>
              </w:rPr>
            </w:pPr>
          </w:p>
        </w:tc>
        <w:tc>
          <w:tcPr>
            <w:tcW w:w="1066" w:type="pct"/>
            <w:vMerge/>
            <w:noWrap/>
          </w:tcPr>
          <w:p w14:paraId="7EB6E3FB" w14:textId="77777777" w:rsidR="00F72C3B" w:rsidRPr="001025FE" w:rsidRDefault="00F72C3B" w:rsidP="000D59CE">
            <w:pPr>
              <w:ind w:left="6" w:right="6"/>
              <w:rPr>
                <w:rFonts w:cs="Arial"/>
                <w:sz w:val="16"/>
                <w:szCs w:val="16"/>
              </w:rPr>
            </w:pPr>
          </w:p>
        </w:tc>
        <w:tc>
          <w:tcPr>
            <w:tcW w:w="1066" w:type="pct"/>
            <w:noWrap/>
            <w:vAlign w:val="center"/>
          </w:tcPr>
          <w:p w14:paraId="49550C4B" w14:textId="77777777" w:rsidR="00F72C3B" w:rsidRPr="001025FE" w:rsidRDefault="00F72C3B" w:rsidP="000D59CE">
            <w:pPr>
              <w:ind w:right="-92"/>
              <w:rPr>
                <w:rFonts w:cs="Arial"/>
                <w:sz w:val="16"/>
                <w:szCs w:val="16"/>
              </w:rPr>
            </w:pPr>
            <w:r w:rsidRPr="001025FE">
              <w:rPr>
                <w:rFonts w:cs="Arial"/>
                <w:sz w:val="16"/>
                <w:szCs w:val="16"/>
              </w:rPr>
              <w:t>Deputy Chief Finance Officer</w:t>
            </w:r>
          </w:p>
        </w:tc>
        <w:tc>
          <w:tcPr>
            <w:tcW w:w="925" w:type="pct"/>
            <w:noWrap/>
            <w:vAlign w:val="center"/>
          </w:tcPr>
          <w:p w14:paraId="5EC579AD" w14:textId="77777777" w:rsidR="00F72C3B" w:rsidRPr="001025FE" w:rsidRDefault="00F72C3B" w:rsidP="000D59CE">
            <w:pPr>
              <w:ind w:left="-15"/>
              <w:rPr>
                <w:rFonts w:cs="Arial"/>
                <w:sz w:val="16"/>
                <w:szCs w:val="16"/>
              </w:rPr>
            </w:pPr>
            <w:r w:rsidRPr="001025FE">
              <w:rPr>
                <w:rFonts w:cs="Arial"/>
                <w:sz w:val="16"/>
                <w:szCs w:val="16"/>
              </w:rPr>
              <w:t>Up to £25,000</w:t>
            </w:r>
          </w:p>
        </w:tc>
      </w:tr>
      <w:tr w:rsidR="00F72C3B" w:rsidRPr="001025FE" w14:paraId="5B504355" w14:textId="77777777" w:rsidTr="000D59CE">
        <w:trPr>
          <w:trHeight w:val="20"/>
        </w:trPr>
        <w:tc>
          <w:tcPr>
            <w:tcW w:w="877" w:type="pct"/>
            <w:vMerge/>
          </w:tcPr>
          <w:p w14:paraId="38718D87" w14:textId="77777777" w:rsidR="00F72C3B" w:rsidRPr="001025FE" w:rsidRDefault="00F72C3B" w:rsidP="000D59CE">
            <w:pPr>
              <w:ind w:right="-105"/>
              <w:rPr>
                <w:rFonts w:cs="Arial"/>
                <w:b/>
                <w:bCs/>
                <w:sz w:val="16"/>
                <w:szCs w:val="16"/>
              </w:rPr>
            </w:pPr>
          </w:p>
        </w:tc>
        <w:tc>
          <w:tcPr>
            <w:tcW w:w="1066" w:type="pct"/>
            <w:vMerge/>
          </w:tcPr>
          <w:p w14:paraId="774F3CDF" w14:textId="77777777" w:rsidR="00F72C3B" w:rsidRPr="001025FE" w:rsidRDefault="00F72C3B" w:rsidP="000D59CE">
            <w:pPr>
              <w:ind w:left="91" w:right="-39"/>
              <w:rPr>
                <w:rFonts w:cs="Arial"/>
                <w:b/>
                <w:bCs/>
                <w:sz w:val="16"/>
                <w:szCs w:val="16"/>
              </w:rPr>
            </w:pPr>
          </w:p>
        </w:tc>
        <w:tc>
          <w:tcPr>
            <w:tcW w:w="1066" w:type="pct"/>
            <w:vMerge/>
            <w:noWrap/>
          </w:tcPr>
          <w:p w14:paraId="35DF2622" w14:textId="77777777" w:rsidR="00F72C3B" w:rsidRPr="001025FE" w:rsidRDefault="00F72C3B" w:rsidP="000D59CE">
            <w:pPr>
              <w:ind w:left="6" w:right="6"/>
              <w:rPr>
                <w:rFonts w:cs="Arial"/>
                <w:sz w:val="16"/>
                <w:szCs w:val="16"/>
              </w:rPr>
            </w:pPr>
          </w:p>
        </w:tc>
        <w:tc>
          <w:tcPr>
            <w:tcW w:w="1066" w:type="pct"/>
            <w:noWrap/>
            <w:vAlign w:val="center"/>
          </w:tcPr>
          <w:p w14:paraId="4CC6A837" w14:textId="77777777" w:rsidR="00F72C3B" w:rsidRPr="001025FE" w:rsidRDefault="00F72C3B" w:rsidP="000D59CE">
            <w:pPr>
              <w:ind w:right="-92"/>
              <w:rPr>
                <w:rFonts w:cs="Arial"/>
                <w:sz w:val="16"/>
                <w:szCs w:val="16"/>
              </w:rPr>
            </w:pPr>
            <w:r w:rsidRPr="001025FE">
              <w:rPr>
                <w:rFonts w:cs="Arial"/>
                <w:sz w:val="16"/>
                <w:szCs w:val="16"/>
              </w:rPr>
              <w:t>Chief Finance Officer</w:t>
            </w:r>
          </w:p>
        </w:tc>
        <w:tc>
          <w:tcPr>
            <w:tcW w:w="925" w:type="pct"/>
            <w:noWrap/>
            <w:vAlign w:val="center"/>
          </w:tcPr>
          <w:p w14:paraId="7C3012DB" w14:textId="77777777" w:rsidR="00F72C3B" w:rsidRPr="001025FE" w:rsidRDefault="00F72C3B" w:rsidP="000D59CE">
            <w:pPr>
              <w:ind w:left="-15"/>
              <w:rPr>
                <w:rFonts w:cs="Arial"/>
                <w:sz w:val="16"/>
                <w:szCs w:val="16"/>
              </w:rPr>
            </w:pPr>
            <w:r w:rsidRPr="001025FE">
              <w:rPr>
                <w:rFonts w:cs="Arial"/>
                <w:sz w:val="16"/>
                <w:szCs w:val="16"/>
              </w:rPr>
              <w:t>Up to £100,000</w:t>
            </w:r>
          </w:p>
        </w:tc>
      </w:tr>
      <w:tr w:rsidR="00F72C3B" w:rsidRPr="001025FE" w14:paraId="7D82FED7" w14:textId="77777777" w:rsidTr="000D59CE">
        <w:trPr>
          <w:trHeight w:val="20"/>
        </w:trPr>
        <w:tc>
          <w:tcPr>
            <w:tcW w:w="877" w:type="pct"/>
            <w:vMerge/>
          </w:tcPr>
          <w:p w14:paraId="313403C0" w14:textId="77777777" w:rsidR="00F72C3B" w:rsidRPr="001025FE" w:rsidRDefault="00F72C3B" w:rsidP="000D59CE">
            <w:pPr>
              <w:ind w:right="-105"/>
              <w:rPr>
                <w:rFonts w:cs="Arial"/>
                <w:b/>
                <w:bCs/>
                <w:sz w:val="16"/>
                <w:szCs w:val="16"/>
              </w:rPr>
            </w:pPr>
          </w:p>
        </w:tc>
        <w:tc>
          <w:tcPr>
            <w:tcW w:w="1066" w:type="pct"/>
            <w:vMerge/>
          </w:tcPr>
          <w:p w14:paraId="3380977F" w14:textId="77777777" w:rsidR="00F72C3B" w:rsidRPr="001025FE" w:rsidRDefault="00F72C3B" w:rsidP="000D59CE">
            <w:pPr>
              <w:ind w:left="91" w:right="-39"/>
              <w:rPr>
                <w:rFonts w:cs="Arial"/>
                <w:b/>
                <w:bCs/>
                <w:sz w:val="16"/>
                <w:szCs w:val="16"/>
              </w:rPr>
            </w:pPr>
          </w:p>
        </w:tc>
        <w:tc>
          <w:tcPr>
            <w:tcW w:w="1066" w:type="pct"/>
            <w:vMerge/>
            <w:noWrap/>
          </w:tcPr>
          <w:p w14:paraId="6740A632" w14:textId="77777777" w:rsidR="00F72C3B" w:rsidRPr="001025FE" w:rsidRDefault="00F72C3B" w:rsidP="000D59CE">
            <w:pPr>
              <w:ind w:left="6" w:right="6"/>
              <w:rPr>
                <w:rFonts w:cs="Arial"/>
                <w:sz w:val="16"/>
                <w:szCs w:val="16"/>
              </w:rPr>
            </w:pPr>
          </w:p>
        </w:tc>
        <w:tc>
          <w:tcPr>
            <w:tcW w:w="1066" w:type="pct"/>
            <w:noWrap/>
            <w:vAlign w:val="center"/>
          </w:tcPr>
          <w:p w14:paraId="3634BBCF" w14:textId="77777777" w:rsidR="00F72C3B" w:rsidRPr="001025FE" w:rsidRDefault="00F72C3B" w:rsidP="000D59CE">
            <w:pPr>
              <w:ind w:right="-92"/>
              <w:rPr>
                <w:rFonts w:cs="Arial"/>
                <w:sz w:val="16"/>
                <w:szCs w:val="16"/>
              </w:rPr>
            </w:pPr>
            <w:r w:rsidRPr="001025FE">
              <w:rPr>
                <w:rFonts w:cs="Arial"/>
                <w:sz w:val="16"/>
                <w:szCs w:val="16"/>
              </w:rPr>
              <w:t>Vice Chancellor</w:t>
            </w:r>
          </w:p>
        </w:tc>
        <w:tc>
          <w:tcPr>
            <w:tcW w:w="925" w:type="pct"/>
            <w:noWrap/>
            <w:vAlign w:val="center"/>
          </w:tcPr>
          <w:p w14:paraId="2015C067" w14:textId="77777777" w:rsidR="00F72C3B" w:rsidRPr="001025FE" w:rsidRDefault="00F72C3B" w:rsidP="000D59CE">
            <w:pPr>
              <w:ind w:left="-15"/>
              <w:rPr>
                <w:rFonts w:cs="Arial"/>
                <w:sz w:val="16"/>
                <w:szCs w:val="16"/>
              </w:rPr>
            </w:pPr>
            <w:r w:rsidRPr="001025FE">
              <w:rPr>
                <w:rFonts w:cs="Arial"/>
                <w:sz w:val="16"/>
                <w:szCs w:val="16"/>
              </w:rPr>
              <w:t>Over £100,000</w:t>
            </w:r>
          </w:p>
        </w:tc>
      </w:tr>
      <w:tr w:rsidR="00F72C3B" w:rsidRPr="001025FE" w14:paraId="56074CD2" w14:textId="77777777" w:rsidTr="000D59CE">
        <w:trPr>
          <w:trHeight w:val="20"/>
        </w:trPr>
        <w:tc>
          <w:tcPr>
            <w:tcW w:w="877" w:type="pct"/>
            <w:vMerge/>
          </w:tcPr>
          <w:p w14:paraId="25776CA0" w14:textId="77777777" w:rsidR="00F72C3B" w:rsidRPr="001025FE" w:rsidRDefault="00F72C3B" w:rsidP="000D59CE">
            <w:pPr>
              <w:ind w:right="-105"/>
              <w:rPr>
                <w:rFonts w:cs="Arial"/>
                <w:b/>
                <w:bCs/>
                <w:sz w:val="16"/>
                <w:szCs w:val="16"/>
              </w:rPr>
            </w:pPr>
          </w:p>
        </w:tc>
        <w:tc>
          <w:tcPr>
            <w:tcW w:w="1066" w:type="pct"/>
            <w:vMerge w:val="restart"/>
            <w:noWrap/>
          </w:tcPr>
          <w:p w14:paraId="718F0CF7" w14:textId="77777777" w:rsidR="00F72C3B" w:rsidRPr="001025FE" w:rsidRDefault="00F72C3B" w:rsidP="000D59CE">
            <w:pPr>
              <w:ind w:right="-39"/>
              <w:rPr>
                <w:rFonts w:cs="Arial"/>
                <w:b/>
                <w:bCs/>
                <w:sz w:val="16"/>
                <w:szCs w:val="16"/>
              </w:rPr>
            </w:pPr>
            <w:r w:rsidRPr="001025FE">
              <w:rPr>
                <w:rFonts w:cs="Arial"/>
                <w:b/>
                <w:bCs/>
                <w:sz w:val="16"/>
                <w:szCs w:val="16"/>
              </w:rPr>
              <w:t>Sales Ledger Credit Notes</w:t>
            </w:r>
          </w:p>
        </w:tc>
        <w:tc>
          <w:tcPr>
            <w:tcW w:w="1066" w:type="pct"/>
            <w:vMerge w:val="restart"/>
            <w:noWrap/>
          </w:tcPr>
          <w:p w14:paraId="17F14D94" w14:textId="77777777" w:rsidR="00F72C3B" w:rsidRPr="001025FE" w:rsidRDefault="00F72C3B" w:rsidP="000D59CE">
            <w:pPr>
              <w:ind w:left="6" w:right="6"/>
              <w:rPr>
                <w:rFonts w:cs="Arial"/>
                <w:sz w:val="16"/>
                <w:szCs w:val="16"/>
              </w:rPr>
            </w:pPr>
            <w:r w:rsidRPr="001025FE">
              <w:rPr>
                <w:rFonts w:cs="Arial"/>
                <w:sz w:val="16"/>
                <w:szCs w:val="16"/>
              </w:rPr>
              <w:t>To approve credit not requests</w:t>
            </w:r>
          </w:p>
          <w:p w14:paraId="1F39E555" w14:textId="77777777" w:rsidR="00F72C3B" w:rsidRPr="001025FE" w:rsidRDefault="00F72C3B" w:rsidP="000D59CE">
            <w:pPr>
              <w:ind w:left="6" w:right="6"/>
              <w:rPr>
                <w:rFonts w:cs="Arial"/>
                <w:sz w:val="16"/>
                <w:szCs w:val="16"/>
              </w:rPr>
            </w:pPr>
          </w:p>
        </w:tc>
        <w:tc>
          <w:tcPr>
            <w:tcW w:w="1066" w:type="pct"/>
            <w:noWrap/>
            <w:vAlign w:val="center"/>
          </w:tcPr>
          <w:p w14:paraId="0B1FBB0F" w14:textId="77777777" w:rsidR="00F72C3B" w:rsidRPr="001025FE" w:rsidRDefault="00F72C3B" w:rsidP="000D59CE">
            <w:pPr>
              <w:ind w:right="-92"/>
              <w:rPr>
                <w:rFonts w:cs="Arial"/>
                <w:sz w:val="16"/>
                <w:szCs w:val="16"/>
              </w:rPr>
            </w:pPr>
            <w:r w:rsidRPr="001025FE">
              <w:rPr>
                <w:rFonts w:cs="Arial"/>
                <w:sz w:val="16"/>
                <w:szCs w:val="16"/>
              </w:rPr>
              <w:t>Finance Manager Grade 7</w:t>
            </w:r>
          </w:p>
        </w:tc>
        <w:tc>
          <w:tcPr>
            <w:tcW w:w="925" w:type="pct"/>
            <w:noWrap/>
            <w:vAlign w:val="center"/>
          </w:tcPr>
          <w:p w14:paraId="5B57E55F" w14:textId="77777777" w:rsidR="00F72C3B" w:rsidRPr="001025FE" w:rsidRDefault="00F72C3B" w:rsidP="000D59CE">
            <w:pPr>
              <w:ind w:left="-15"/>
              <w:rPr>
                <w:rFonts w:cs="Arial"/>
                <w:sz w:val="16"/>
                <w:szCs w:val="16"/>
              </w:rPr>
            </w:pPr>
            <w:r w:rsidRPr="001025FE">
              <w:rPr>
                <w:rFonts w:cs="Arial"/>
                <w:sz w:val="16"/>
                <w:szCs w:val="16"/>
              </w:rPr>
              <w:t>Up to £1,000</w:t>
            </w:r>
          </w:p>
        </w:tc>
      </w:tr>
      <w:tr w:rsidR="00F72C3B" w:rsidRPr="001025FE" w14:paraId="65C78BB7" w14:textId="77777777" w:rsidTr="000D59CE">
        <w:trPr>
          <w:trHeight w:val="20"/>
        </w:trPr>
        <w:tc>
          <w:tcPr>
            <w:tcW w:w="877" w:type="pct"/>
            <w:vMerge/>
          </w:tcPr>
          <w:p w14:paraId="711AEFEC" w14:textId="77777777" w:rsidR="00F72C3B" w:rsidRPr="001025FE" w:rsidRDefault="00F72C3B" w:rsidP="000D59CE">
            <w:pPr>
              <w:ind w:right="-105"/>
              <w:rPr>
                <w:rFonts w:cs="Arial"/>
                <w:b/>
                <w:bCs/>
                <w:sz w:val="16"/>
                <w:szCs w:val="16"/>
              </w:rPr>
            </w:pPr>
          </w:p>
        </w:tc>
        <w:tc>
          <w:tcPr>
            <w:tcW w:w="1066" w:type="pct"/>
            <w:vMerge/>
          </w:tcPr>
          <w:p w14:paraId="3173368F" w14:textId="77777777" w:rsidR="00F72C3B" w:rsidRPr="001025FE" w:rsidRDefault="00F72C3B" w:rsidP="000D59CE">
            <w:pPr>
              <w:ind w:left="91" w:right="-39"/>
              <w:rPr>
                <w:rFonts w:cs="Arial"/>
                <w:b/>
                <w:bCs/>
                <w:sz w:val="16"/>
                <w:szCs w:val="16"/>
              </w:rPr>
            </w:pPr>
          </w:p>
        </w:tc>
        <w:tc>
          <w:tcPr>
            <w:tcW w:w="1066" w:type="pct"/>
            <w:vMerge/>
            <w:noWrap/>
          </w:tcPr>
          <w:p w14:paraId="2C00CF50" w14:textId="77777777" w:rsidR="00F72C3B" w:rsidRPr="001025FE" w:rsidRDefault="00F72C3B" w:rsidP="000D59CE">
            <w:pPr>
              <w:ind w:left="6" w:right="6"/>
              <w:rPr>
                <w:rFonts w:cs="Arial"/>
                <w:sz w:val="16"/>
                <w:szCs w:val="16"/>
              </w:rPr>
            </w:pPr>
          </w:p>
        </w:tc>
        <w:tc>
          <w:tcPr>
            <w:tcW w:w="1066" w:type="pct"/>
            <w:noWrap/>
            <w:vAlign w:val="center"/>
          </w:tcPr>
          <w:p w14:paraId="361DEEDA" w14:textId="77777777" w:rsidR="00F72C3B" w:rsidRPr="001025FE" w:rsidRDefault="00F72C3B" w:rsidP="000D59CE">
            <w:pPr>
              <w:ind w:right="-92"/>
              <w:rPr>
                <w:rFonts w:cs="Arial"/>
                <w:sz w:val="16"/>
                <w:szCs w:val="16"/>
              </w:rPr>
            </w:pPr>
            <w:r w:rsidRPr="001025FE">
              <w:rPr>
                <w:rFonts w:cs="Arial"/>
                <w:sz w:val="16"/>
                <w:szCs w:val="16"/>
              </w:rPr>
              <w:t>Finance Manager Grade 8 and 9</w:t>
            </w:r>
          </w:p>
        </w:tc>
        <w:tc>
          <w:tcPr>
            <w:tcW w:w="925" w:type="pct"/>
            <w:noWrap/>
            <w:vAlign w:val="center"/>
          </w:tcPr>
          <w:p w14:paraId="35610347" w14:textId="77777777" w:rsidR="00F72C3B" w:rsidRPr="001025FE" w:rsidRDefault="00F72C3B" w:rsidP="000D59CE">
            <w:pPr>
              <w:ind w:left="-15"/>
              <w:rPr>
                <w:rFonts w:cs="Arial"/>
                <w:sz w:val="16"/>
                <w:szCs w:val="16"/>
              </w:rPr>
            </w:pPr>
            <w:r w:rsidRPr="001025FE">
              <w:rPr>
                <w:rFonts w:cs="Arial"/>
                <w:sz w:val="16"/>
                <w:szCs w:val="16"/>
              </w:rPr>
              <w:t>Up to £10,000</w:t>
            </w:r>
          </w:p>
        </w:tc>
      </w:tr>
      <w:tr w:rsidR="00F72C3B" w:rsidRPr="001025FE" w14:paraId="5E98D9AF" w14:textId="77777777" w:rsidTr="000D59CE">
        <w:trPr>
          <w:trHeight w:val="20"/>
        </w:trPr>
        <w:tc>
          <w:tcPr>
            <w:tcW w:w="877" w:type="pct"/>
            <w:vMerge/>
          </w:tcPr>
          <w:p w14:paraId="3347CBEA" w14:textId="77777777" w:rsidR="00F72C3B" w:rsidRPr="001025FE" w:rsidRDefault="00F72C3B" w:rsidP="000D59CE">
            <w:pPr>
              <w:ind w:right="-105"/>
              <w:rPr>
                <w:rFonts w:cs="Arial"/>
                <w:b/>
                <w:bCs/>
                <w:sz w:val="16"/>
                <w:szCs w:val="16"/>
              </w:rPr>
            </w:pPr>
          </w:p>
        </w:tc>
        <w:tc>
          <w:tcPr>
            <w:tcW w:w="1066" w:type="pct"/>
            <w:vMerge/>
          </w:tcPr>
          <w:p w14:paraId="6466A114" w14:textId="77777777" w:rsidR="00F72C3B" w:rsidRPr="001025FE" w:rsidRDefault="00F72C3B" w:rsidP="000D59CE">
            <w:pPr>
              <w:ind w:left="91" w:right="-39"/>
              <w:rPr>
                <w:rFonts w:cs="Arial"/>
                <w:b/>
                <w:bCs/>
                <w:sz w:val="16"/>
                <w:szCs w:val="16"/>
              </w:rPr>
            </w:pPr>
          </w:p>
        </w:tc>
        <w:tc>
          <w:tcPr>
            <w:tcW w:w="1066" w:type="pct"/>
            <w:vMerge/>
            <w:noWrap/>
          </w:tcPr>
          <w:p w14:paraId="503E6AA2" w14:textId="77777777" w:rsidR="00F72C3B" w:rsidRPr="001025FE" w:rsidRDefault="00F72C3B" w:rsidP="000D59CE">
            <w:pPr>
              <w:ind w:left="6" w:right="6"/>
              <w:rPr>
                <w:rFonts w:cs="Arial"/>
                <w:sz w:val="16"/>
                <w:szCs w:val="16"/>
              </w:rPr>
            </w:pPr>
          </w:p>
        </w:tc>
        <w:tc>
          <w:tcPr>
            <w:tcW w:w="1066" w:type="pct"/>
            <w:noWrap/>
            <w:vAlign w:val="center"/>
          </w:tcPr>
          <w:p w14:paraId="058DB80D" w14:textId="77777777" w:rsidR="00F72C3B" w:rsidRPr="001025FE" w:rsidRDefault="00F72C3B" w:rsidP="000D59CE">
            <w:pPr>
              <w:ind w:right="-92"/>
              <w:rPr>
                <w:rFonts w:cs="Arial"/>
                <w:sz w:val="16"/>
                <w:szCs w:val="16"/>
              </w:rPr>
            </w:pPr>
            <w:r w:rsidRPr="001025FE">
              <w:rPr>
                <w:rFonts w:cs="Arial"/>
                <w:sz w:val="16"/>
                <w:szCs w:val="16"/>
              </w:rPr>
              <w:t>Deputy Chief Finance Officer</w:t>
            </w:r>
          </w:p>
        </w:tc>
        <w:tc>
          <w:tcPr>
            <w:tcW w:w="925" w:type="pct"/>
            <w:noWrap/>
            <w:vAlign w:val="center"/>
          </w:tcPr>
          <w:p w14:paraId="28DA6D1E" w14:textId="77777777" w:rsidR="00F72C3B" w:rsidRPr="001025FE" w:rsidRDefault="00F72C3B" w:rsidP="000D59CE">
            <w:pPr>
              <w:ind w:left="-15"/>
              <w:rPr>
                <w:rFonts w:cs="Arial"/>
                <w:sz w:val="16"/>
                <w:szCs w:val="16"/>
              </w:rPr>
            </w:pPr>
            <w:r w:rsidRPr="001025FE">
              <w:rPr>
                <w:rFonts w:cs="Arial"/>
                <w:sz w:val="16"/>
                <w:szCs w:val="16"/>
              </w:rPr>
              <w:t>Up to £25,000</w:t>
            </w:r>
          </w:p>
        </w:tc>
      </w:tr>
      <w:tr w:rsidR="00F72C3B" w:rsidRPr="001025FE" w14:paraId="0B584220" w14:textId="77777777" w:rsidTr="000D59CE">
        <w:trPr>
          <w:trHeight w:val="20"/>
        </w:trPr>
        <w:tc>
          <w:tcPr>
            <w:tcW w:w="877" w:type="pct"/>
            <w:vMerge/>
          </w:tcPr>
          <w:p w14:paraId="28E3FAD9" w14:textId="77777777" w:rsidR="00F72C3B" w:rsidRPr="001025FE" w:rsidRDefault="00F72C3B" w:rsidP="000D59CE">
            <w:pPr>
              <w:ind w:right="-105"/>
              <w:rPr>
                <w:rFonts w:cs="Arial"/>
                <w:b/>
                <w:bCs/>
                <w:sz w:val="16"/>
                <w:szCs w:val="16"/>
              </w:rPr>
            </w:pPr>
          </w:p>
        </w:tc>
        <w:tc>
          <w:tcPr>
            <w:tcW w:w="1066" w:type="pct"/>
            <w:vMerge/>
          </w:tcPr>
          <w:p w14:paraId="4D1B1C5D" w14:textId="77777777" w:rsidR="00F72C3B" w:rsidRPr="001025FE" w:rsidRDefault="00F72C3B" w:rsidP="000D59CE">
            <w:pPr>
              <w:ind w:left="91" w:right="-39"/>
              <w:rPr>
                <w:rFonts w:cs="Arial"/>
                <w:b/>
                <w:bCs/>
                <w:sz w:val="16"/>
                <w:szCs w:val="16"/>
              </w:rPr>
            </w:pPr>
          </w:p>
        </w:tc>
        <w:tc>
          <w:tcPr>
            <w:tcW w:w="1066" w:type="pct"/>
            <w:vMerge/>
            <w:noWrap/>
          </w:tcPr>
          <w:p w14:paraId="241C0B35" w14:textId="77777777" w:rsidR="00F72C3B" w:rsidRPr="001025FE" w:rsidRDefault="00F72C3B" w:rsidP="000D59CE">
            <w:pPr>
              <w:ind w:left="6" w:right="6"/>
              <w:rPr>
                <w:rFonts w:cs="Arial"/>
                <w:sz w:val="16"/>
                <w:szCs w:val="16"/>
              </w:rPr>
            </w:pPr>
          </w:p>
        </w:tc>
        <w:tc>
          <w:tcPr>
            <w:tcW w:w="1066" w:type="pct"/>
            <w:noWrap/>
            <w:vAlign w:val="center"/>
          </w:tcPr>
          <w:p w14:paraId="62E6A78D" w14:textId="77777777" w:rsidR="00F72C3B" w:rsidRPr="001025FE" w:rsidRDefault="00F72C3B" w:rsidP="000D59CE">
            <w:pPr>
              <w:ind w:right="-92"/>
              <w:rPr>
                <w:rFonts w:cs="Arial"/>
                <w:sz w:val="16"/>
                <w:szCs w:val="16"/>
              </w:rPr>
            </w:pPr>
            <w:r w:rsidRPr="001025FE">
              <w:rPr>
                <w:rFonts w:cs="Arial"/>
                <w:sz w:val="16"/>
                <w:szCs w:val="16"/>
              </w:rPr>
              <w:t>Chief Finance Officer</w:t>
            </w:r>
          </w:p>
        </w:tc>
        <w:tc>
          <w:tcPr>
            <w:tcW w:w="925" w:type="pct"/>
            <w:noWrap/>
            <w:vAlign w:val="center"/>
          </w:tcPr>
          <w:p w14:paraId="45B6A803" w14:textId="77777777" w:rsidR="00F72C3B" w:rsidRPr="001025FE" w:rsidRDefault="00F72C3B" w:rsidP="000D59CE">
            <w:pPr>
              <w:ind w:left="-15"/>
              <w:rPr>
                <w:rFonts w:cs="Arial"/>
                <w:sz w:val="16"/>
                <w:szCs w:val="16"/>
              </w:rPr>
            </w:pPr>
            <w:r w:rsidRPr="001025FE">
              <w:rPr>
                <w:rFonts w:cs="Arial"/>
                <w:sz w:val="16"/>
                <w:szCs w:val="16"/>
              </w:rPr>
              <w:t>Up to £100,000</w:t>
            </w:r>
          </w:p>
        </w:tc>
      </w:tr>
      <w:tr w:rsidR="00F72C3B" w:rsidRPr="001025FE" w14:paraId="26C24CB9" w14:textId="77777777" w:rsidTr="000D59CE">
        <w:trPr>
          <w:trHeight w:val="20"/>
        </w:trPr>
        <w:tc>
          <w:tcPr>
            <w:tcW w:w="877" w:type="pct"/>
            <w:vMerge/>
          </w:tcPr>
          <w:p w14:paraId="53ED8098" w14:textId="77777777" w:rsidR="00F72C3B" w:rsidRPr="001025FE" w:rsidRDefault="00F72C3B" w:rsidP="000D59CE">
            <w:pPr>
              <w:ind w:right="-105"/>
              <w:rPr>
                <w:rFonts w:cs="Arial"/>
                <w:b/>
                <w:bCs/>
                <w:sz w:val="16"/>
                <w:szCs w:val="16"/>
              </w:rPr>
            </w:pPr>
          </w:p>
        </w:tc>
        <w:tc>
          <w:tcPr>
            <w:tcW w:w="1066" w:type="pct"/>
            <w:vMerge/>
          </w:tcPr>
          <w:p w14:paraId="596B1F2F" w14:textId="77777777" w:rsidR="00F72C3B" w:rsidRPr="001025FE" w:rsidRDefault="00F72C3B" w:rsidP="000D59CE">
            <w:pPr>
              <w:ind w:left="91" w:right="-39"/>
              <w:rPr>
                <w:rFonts w:cs="Arial"/>
                <w:b/>
                <w:bCs/>
                <w:sz w:val="16"/>
                <w:szCs w:val="16"/>
              </w:rPr>
            </w:pPr>
          </w:p>
        </w:tc>
        <w:tc>
          <w:tcPr>
            <w:tcW w:w="1066" w:type="pct"/>
            <w:vMerge/>
            <w:noWrap/>
          </w:tcPr>
          <w:p w14:paraId="7D98315A" w14:textId="77777777" w:rsidR="00F72C3B" w:rsidRPr="001025FE" w:rsidRDefault="00F72C3B" w:rsidP="000D59CE">
            <w:pPr>
              <w:ind w:left="6" w:right="6"/>
              <w:rPr>
                <w:rFonts w:cs="Arial"/>
                <w:sz w:val="16"/>
                <w:szCs w:val="16"/>
              </w:rPr>
            </w:pPr>
          </w:p>
        </w:tc>
        <w:tc>
          <w:tcPr>
            <w:tcW w:w="1066" w:type="pct"/>
            <w:noWrap/>
            <w:vAlign w:val="center"/>
          </w:tcPr>
          <w:p w14:paraId="52AA3D62" w14:textId="77777777" w:rsidR="00F72C3B" w:rsidRPr="001025FE" w:rsidRDefault="00F72C3B" w:rsidP="000D59CE">
            <w:pPr>
              <w:ind w:right="-92"/>
              <w:rPr>
                <w:rFonts w:cs="Arial"/>
                <w:sz w:val="16"/>
                <w:szCs w:val="16"/>
              </w:rPr>
            </w:pPr>
            <w:r w:rsidRPr="001025FE">
              <w:rPr>
                <w:rFonts w:cs="Arial"/>
                <w:sz w:val="16"/>
                <w:szCs w:val="16"/>
              </w:rPr>
              <w:t>Vice Chancellor</w:t>
            </w:r>
          </w:p>
        </w:tc>
        <w:tc>
          <w:tcPr>
            <w:tcW w:w="925" w:type="pct"/>
            <w:noWrap/>
            <w:vAlign w:val="center"/>
          </w:tcPr>
          <w:p w14:paraId="6801C3D2" w14:textId="77777777" w:rsidR="00F72C3B" w:rsidRPr="001025FE" w:rsidRDefault="00F72C3B" w:rsidP="000D59CE">
            <w:pPr>
              <w:ind w:left="-15"/>
              <w:rPr>
                <w:rFonts w:cs="Arial"/>
                <w:sz w:val="16"/>
                <w:szCs w:val="16"/>
              </w:rPr>
            </w:pPr>
            <w:r w:rsidRPr="001025FE">
              <w:rPr>
                <w:rFonts w:cs="Arial"/>
                <w:sz w:val="16"/>
                <w:szCs w:val="16"/>
              </w:rPr>
              <w:t>Over £100,000</w:t>
            </w:r>
          </w:p>
        </w:tc>
      </w:tr>
      <w:tr w:rsidR="00F72C3B" w:rsidRPr="001025FE" w14:paraId="12277676" w14:textId="77777777" w:rsidTr="000D59CE">
        <w:trPr>
          <w:trHeight w:val="20"/>
        </w:trPr>
        <w:tc>
          <w:tcPr>
            <w:tcW w:w="877" w:type="pct"/>
            <w:vMerge/>
          </w:tcPr>
          <w:p w14:paraId="07060B3C" w14:textId="77777777" w:rsidR="00F72C3B" w:rsidRPr="001025FE" w:rsidRDefault="00F72C3B" w:rsidP="000D59CE">
            <w:pPr>
              <w:ind w:right="-105"/>
              <w:rPr>
                <w:rFonts w:cs="Arial"/>
                <w:b/>
                <w:bCs/>
                <w:sz w:val="16"/>
                <w:szCs w:val="16"/>
              </w:rPr>
            </w:pPr>
          </w:p>
        </w:tc>
        <w:tc>
          <w:tcPr>
            <w:tcW w:w="1066" w:type="pct"/>
            <w:vMerge w:val="restart"/>
            <w:noWrap/>
          </w:tcPr>
          <w:p w14:paraId="0DE9AEDA" w14:textId="77777777" w:rsidR="00F72C3B" w:rsidRPr="001025FE" w:rsidRDefault="00F72C3B" w:rsidP="000D59CE">
            <w:pPr>
              <w:ind w:right="-39"/>
              <w:rPr>
                <w:rFonts w:cs="Arial"/>
                <w:b/>
                <w:bCs/>
                <w:sz w:val="16"/>
                <w:szCs w:val="16"/>
              </w:rPr>
            </w:pPr>
            <w:r w:rsidRPr="001025FE">
              <w:rPr>
                <w:rFonts w:cs="Arial"/>
                <w:b/>
                <w:bCs/>
                <w:sz w:val="16"/>
                <w:szCs w:val="16"/>
              </w:rPr>
              <w:t>Pass debt to legal advisors</w:t>
            </w:r>
          </w:p>
        </w:tc>
        <w:tc>
          <w:tcPr>
            <w:tcW w:w="1066" w:type="pct"/>
            <w:vMerge w:val="restart"/>
            <w:noWrap/>
          </w:tcPr>
          <w:p w14:paraId="58E5A18F" w14:textId="77777777" w:rsidR="00F72C3B" w:rsidRPr="001025FE" w:rsidRDefault="00F72C3B" w:rsidP="000D59CE">
            <w:pPr>
              <w:ind w:left="6" w:right="6"/>
              <w:rPr>
                <w:rFonts w:cs="Arial"/>
                <w:sz w:val="16"/>
                <w:szCs w:val="16"/>
              </w:rPr>
            </w:pPr>
            <w:r w:rsidRPr="001025FE">
              <w:rPr>
                <w:rFonts w:cs="Arial"/>
                <w:sz w:val="16"/>
                <w:szCs w:val="16"/>
              </w:rPr>
              <w:t>To approve legal action against debtor</w:t>
            </w:r>
          </w:p>
          <w:p w14:paraId="7C73C5E9" w14:textId="77777777" w:rsidR="00F72C3B" w:rsidRPr="001025FE" w:rsidRDefault="00F72C3B" w:rsidP="000D59CE">
            <w:pPr>
              <w:ind w:left="6" w:right="6"/>
              <w:rPr>
                <w:rFonts w:cs="Arial"/>
                <w:sz w:val="16"/>
                <w:szCs w:val="16"/>
              </w:rPr>
            </w:pPr>
          </w:p>
        </w:tc>
        <w:tc>
          <w:tcPr>
            <w:tcW w:w="1066" w:type="pct"/>
            <w:noWrap/>
            <w:vAlign w:val="center"/>
          </w:tcPr>
          <w:p w14:paraId="007C691E" w14:textId="77777777" w:rsidR="00F72C3B" w:rsidRPr="001025FE" w:rsidRDefault="00F72C3B" w:rsidP="000D59CE">
            <w:pPr>
              <w:ind w:right="-92"/>
              <w:rPr>
                <w:rFonts w:cs="Arial"/>
                <w:sz w:val="16"/>
                <w:szCs w:val="16"/>
              </w:rPr>
            </w:pPr>
            <w:r w:rsidRPr="001025FE">
              <w:rPr>
                <w:rFonts w:cs="Arial"/>
                <w:sz w:val="16"/>
                <w:szCs w:val="16"/>
              </w:rPr>
              <w:t>Finance Manager Grade 9</w:t>
            </w:r>
          </w:p>
        </w:tc>
        <w:tc>
          <w:tcPr>
            <w:tcW w:w="925" w:type="pct"/>
            <w:noWrap/>
            <w:vAlign w:val="center"/>
          </w:tcPr>
          <w:p w14:paraId="3FD965E9" w14:textId="77777777" w:rsidR="00F72C3B" w:rsidRPr="001025FE" w:rsidRDefault="00F72C3B" w:rsidP="000D59CE">
            <w:pPr>
              <w:ind w:left="-15"/>
              <w:rPr>
                <w:rFonts w:cs="Arial"/>
                <w:sz w:val="16"/>
                <w:szCs w:val="16"/>
              </w:rPr>
            </w:pPr>
            <w:r w:rsidRPr="001025FE">
              <w:rPr>
                <w:rFonts w:cs="Arial"/>
                <w:sz w:val="16"/>
                <w:szCs w:val="16"/>
              </w:rPr>
              <w:t>Up to £5,000</w:t>
            </w:r>
          </w:p>
        </w:tc>
      </w:tr>
      <w:tr w:rsidR="00F72C3B" w:rsidRPr="001025FE" w14:paraId="5FBA000C" w14:textId="77777777" w:rsidTr="000D59CE">
        <w:trPr>
          <w:trHeight w:val="20"/>
        </w:trPr>
        <w:tc>
          <w:tcPr>
            <w:tcW w:w="877" w:type="pct"/>
            <w:vMerge/>
          </w:tcPr>
          <w:p w14:paraId="0EF85181" w14:textId="77777777" w:rsidR="00F72C3B" w:rsidRPr="001025FE" w:rsidRDefault="00F72C3B" w:rsidP="000D59CE">
            <w:pPr>
              <w:ind w:right="-105"/>
              <w:rPr>
                <w:rFonts w:cs="Arial"/>
                <w:b/>
                <w:bCs/>
                <w:sz w:val="16"/>
                <w:szCs w:val="16"/>
              </w:rPr>
            </w:pPr>
          </w:p>
        </w:tc>
        <w:tc>
          <w:tcPr>
            <w:tcW w:w="1066" w:type="pct"/>
            <w:vMerge/>
          </w:tcPr>
          <w:p w14:paraId="675B8406" w14:textId="77777777" w:rsidR="00F72C3B" w:rsidRPr="001025FE" w:rsidRDefault="00F72C3B" w:rsidP="000D59CE">
            <w:pPr>
              <w:ind w:left="91" w:right="-39"/>
              <w:rPr>
                <w:rFonts w:cs="Arial"/>
                <w:b/>
                <w:bCs/>
                <w:sz w:val="16"/>
                <w:szCs w:val="16"/>
              </w:rPr>
            </w:pPr>
          </w:p>
        </w:tc>
        <w:tc>
          <w:tcPr>
            <w:tcW w:w="1066" w:type="pct"/>
            <w:vMerge/>
            <w:noWrap/>
          </w:tcPr>
          <w:p w14:paraId="3CE4C2EE" w14:textId="77777777" w:rsidR="00F72C3B" w:rsidRPr="001025FE" w:rsidRDefault="00F72C3B" w:rsidP="000D59CE">
            <w:pPr>
              <w:ind w:left="6" w:right="6"/>
              <w:rPr>
                <w:rFonts w:cs="Arial"/>
                <w:sz w:val="16"/>
                <w:szCs w:val="16"/>
              </w:rPr>
            </w:pPr>
          </w:p>
        </w:tc>
        <w:tc>
          <w:tcPr>
            <w:tcW w:w="1066" w:type="pct"/>
            <w:noWrap/>
            <w:vAlign w:val="center"/>
          </w:tcPr>
          <w:p w14:paraId="2F16FBC1" w14:textId="77777777" w:rsidR="00F72C3B" w:rsidRPr="001025FE" w:rsidRDefault="00F72C3B" w:rsidP="000D59CE">
            <w:pPr>
              <w:ind w:right="-92"/>
              <w:rPr>
                <w:rFonts w:cs="Arial"/>
                <w:sz w:val="16"/>
                <w:szCs w:val="16"/>
              </w:rPr>
            </w:pPr>
            <w:r w:rsidRPr="001025FE">
              <w:rPr>
                <w:rFonts w:cs="Arial"/>
                <w:sz w:val="16"/>
                <w:szCs w:val="16"/>
              </w:rPr>
              <w:t>Deputy Chief Finance Officer</w:t>
            </w:r>
          </w:p>
        </w:tc>
        <w:tc>
          <w:tcPr>
            <w:tcW w:w="925" w:type="pct"/>
            <w:noWrap/>
            <w:vAlign w:val="center"/>
          </w:tcPr>
          <w:p w14:paraId="1FC4E60B" w14:textId="77777777" w:rsidR="00F72C3B" w:rsidRPr="001025FE" w:rsidRDefault="00F72C3B" w:rsidP="000D59CE">
            <w:pPr>
              <w:ind w:left="-15"/>
              <w:rPr>
                <w:rFonts w:cs="Arial"/>
                <w:sz w:val="16"/>
                <w:szCs w:val="16"/>
              </w:rPr>
            </w:pPr>
            <w:r w:rsidRPr="001025FE">
              <w:rPr>
                <w:rFonts w:cs="Arial"/>
                <w:sz w:val="16"/>
                <w:szCs w:val="16"/>
              </w:rPr>
              <w:t>Over £5,000</w:t>
            </w:r>
          </w:p>
        </w:tc>
      </w:tr>
      <w:tr w:rsidR="00F72C3B" w:rsidRPr="001025FE" w14:paraId="62D4E77A" w14:textId="77777777" w:rsidTr="000D59CE">
        <w:trPr>
          <w:trHeight w:val="20"/>
        </w:trPr>
        <w:tc>
          <w:tcPr>
            <w:tcW w:w="877" w:type="pct"/>
            <w:vMerge/>
          </w:tcPr>
          <w:p w14:paraId="7DA0B435" w14:textId="77777777" w:rsidR="00F72C3B" w:rsidRPr="001025FE" w:rsidRDefault="00F72C3B" w:rsidP="000D59CE">
            <w:pPr>
              <w:ind w:right="-105"/>
              <w:rPr>
                <w:rFonts w:cs="Arial"/>
                <w:b/>
                <w:bCs/>
                <w:sz w:val="16"/>
                <w:szCs w:val="16"/>
              </w:rPr>
            </w:pPr>
          </w:p>
        </w:tc>
        <w:tc>
          <w:tcPr>
            <w:tcW w:w="1066" w:type="pct"/>
            <w:vMerge w:val="restart"/>
            <w:noWrap/>
          </w:tcPr>
          <w:p w14:paraId="192E4C05" w14:textId="77777777" w:rsidR="00F72C3B" w:rsidRPr="001025FE" w:rsidRDefault="00F72C3B" w:rsidP="000378B5">
            <w:pPr>
              <w:ind w:right="-39"/>
              <w:rPr>
                <w:rFonts w:cs="Arial"/>
                <w:b/>
                <w:bCs/>
                <w:sz w:val="16"/>
                <w:szCs w:val="16"/>
              </w:rPr>
            </w:pPr>
            <w:r w:rsidRPr="001025FE">
              <w:rPr>
                <w:rFonts w:cs="Arial"/>
                <w:b/>
                <w:bCs/>
                <w:sz w:val="16"/>
                <w:szCs w:val="16"/>
              </w:rPr>
              <w:t>Write off bad debt</w:t>
            </w:r>
          </w:p>
        </w:tc>
        <w:tc>
          <w:tcPr>
            <w:tcW w:w="1066" w:type="pct"/>
            <w:vMerge w:val="restart"/>
            <w:noWrap/>
          </w:tcPr>
          <w:p w14:paraId="20270B8C" w14:textId="77777777" w:rsidR="00F72C3B" w:rsidRPr="001025FE" w:rsidRDefault="00F72C3B" w:rsidP="000D59CE">
            <w:pPr>
              <w:ind w:left="6" w:right="6"/>
              <w:rPr>
                <w:rFonts w:cs="Arial"/>
                <w:sz w:val="16"/>
                <w:szCs w:val="16"/>
              </w:rPr>
            </w:pPr>
            <w:r w:rsidRPr="001025FE">
              <w:rPr>
                <w:rFonts w:cs="Arial"/>
                <w:sz w:val="16"/>
                <w:szCs w:val="16"/>
              </w:rPr>
              <w:t>To approve debt write off</w:t>
            </w:r>
          </w:p>
          <w:p w14:paraId="14F2C863" w14:textId="77777777" w:rsidR="00F72C3B" w:rsidRPr="001025FE" w:rsidRDefault="00F72C3B" w:rsidP="000D59CE">
            <w:pPr>
              <w:ind w:left="6" w:right="6"/>
              <w:rPr>
                <w:rFonts w:cs="Arial"/>
                <w:sz w:val="16"/>
                <w:szCs w:val="16"/>
              </w:rPr>
            </w:pPr>
          </w:p>
        </w:tc>
        <w:tc>
          <w:tcPr>
            <w:tcW w:w="1066" w:type="pct"/>
            <w:noWrap/>
            <w:vAlign w:val="center"/>
          </w:tcPr>
          <w:p w14:paraId="40FE3F3A" w14:textId="77777777" w:rsidR="00F72C3B" w:rsidRPr="001025FE" w:rsidRDefault="00F72C3B" w:rsidP="000D59CE">
            <w:pPr>
              <w:ind w:right="-92"/>
              <w:rPr>
                <w:rFonts w:cs="Arial"/>
                <w:sz w:val="16"/>
                <w:szCs w:val="16"/>
              </w:rPr>
            </w:pPr>
            <w:r w:rsidRPr="001025FE">
              <w:rPr>
                <w:rFonts w:cs="Arial"/>
                <w:sz w:val="16"/>
                <w:szCs w:val="16"/>
              </w:rPr>
              <w:t>Finance Manager Grade 9</w:t>
            </w:r>
          </w:p>
        </w:tc>
        <w:tc>
          <w:tcPr>
            <w:tcW w:w="925" w:type="pct"/>
            <w:noWrap/>
            <w:vAlign w:val="center"/>
          </w:tcPr>
          <w:p w14:paraId="74CC75EC" w14:textId="77777777" w:rsidR="00F72C3B" w:rsidRPr="001025FE" w:rsidRDefault="00F72C3B" w:rsidP="000D59CE">
            <w:pPr>
              <w:ind w:left="-15"/>
              <w:rPr>
                <w:rFonts w:cs="Arial"/>
                <w:sz w:val="16"/>
                <w:szCs w:val="16"/>
              </w:rPr>
            </w:pPr>
            <w:r w:rsidRPr="001025FE">
              <w:rPr>
                <w:rFonts w:cs="Arial"/>
                <w:sz w:val="16"/>
                <w:szCs w:val="16"/>
              </w:rPr>
              <w:t>Up to £5,000</w:t>
            </w:r>
          </w:p>
        </w:tc>
      </w:tr>
      <w:tr w:rsidR="00F72C3B" w:rsidRPr="001025FE" w14:paraId="721961F0" w14:textId="77777777" w:rsidTr="000D59CE">
        <w:trPr>
          <w:trHeight w:val="20"/>
        </w:trPr>
        <w:tc>
          <w:tcPr>
            <w:tcW w:w="877" w:type="pct"/>
            <w:vMerge/>
          </w:tcPr>
          <w:p w14:paraId="1CC12032" w14:textId="77777777" w:rsidR="00F72C3B" w:rsidRPr="001025FE" w:rsidRDefault="00F72C3B" w:rsidP="000D59CE">
            <w:pPr>
              <w:ind w:right="-105"/>
              <w:rPr>
                <w:rFonts w:cs="Arial"/>
                <w:b/>
                <w:bCs/>
                <w:sz w:val="16"/>
                <w:szCs w:val="16"/>
              </w:rPr>
            </w:pPr>
          </w:p>
        </w:tc>
        <w:tc>
          <w:tcPr>
            <w:tcW w:w="1066" w:type="pct"/>
            <w:vMerge/>
          </w:tcPr>
          <w:p w14:paraId="37FCCEB8" w14:textId="77777777" w:rsidR="00F72C3B" w:rsidRPr="001025FE" w:rsidRDefault="00F72C3B" w:rsidP="000D59CE">
            <w:pPr>
              <w:ind w:left="91" w:right="-39"/>
              <w:rPr>
                <w:rFonts w:cs="Arial"/>
                <w:b/>
                <w:bCs/>
                <w:sz w:val="16"/>
                <w:szCs w:val="16"/>
              </w:rPr>
            </w:pPr>
          </w:p>
        </w:tc>
        <w:tc>
          <w:tcPr>
            <w:tcW w:w="1066" w:type="pct"/>
            <w:vMerge/>
            <w:noWrap/>
            <w:vAlign w:val="center"/>
          </w:tcPr>
          <w:p w14:paraId="7893374A" w14:textId="77777777" w:rsidR="00F72C3B" w:rsidRPr="001025FE" w:rsidRDefault="00F72C3B" w:rsidP="000D59CE">
            <w:pPr>
              <w:ind w:left="6" w:right="6"/>
              <w:rPr>
                <w:rFonts w:cs="Arial"/>
                <w:sz w:val="16"/>
                <w:szCs w:val="16"/>
              </w:rPr>
            </w:pPr>
          </w:p>
        </w:tc>
        <w:tc>
          <w:tcPr>
            <w:tcW w:w="1066" w:type="pct"/>
            <w:noWrap/>
            <w:vAlign w:val="center"/>
          </w:tcPr>
          <w:p w14:paraId="42BD18E7" w14:textId="77777777" w:rsidR="00F72C3B" w:rsidRPr="001025FE" w:rsidRDefault="00F72C3B" w:rsidP="000D59CE">
            <w:pPr>
              <w:ind w:right="-92"/>
              <w:rPr>
                <w:rFonts w:cs="Arial"/>
                <w:sz w:val="16"/>
                <w:szCs w:val="16"/>
              </w:rPr>
            </w:pPr>
            <w:r w:rsidRPr="001025FE">
              <w:rPr>
                <w:rFonts w:cs="Arial"/>
                <w:sz w:val="16"/>
                <w:szCs w:val="16"/>
              </w:rPr>
              <w:t>Deputy Chief Finance Officer</w:t>
            </w:r>
          </w:p>
        </w:tc>
        <w:tc>
          <w:tcPr>
            <w:tcW w:w="925" w:type="pct"/>
            <w:noWrap/>
            <w:vAlign w:val="center"/>
          </w:tcPr>
          <w:p w14:paraId="6B713C0B" w14:textId="77777777" w:rsidR="00F72C3B" w:rsidRPr="001025FE" w:rsidRDefault="00F72C3B" w:rsidP="000D59CE">
            <w:pPr>
              <w:ind w:left="-15"/>
              <w:rPr>
                <w:rFonts w:cs="Arial"/>
                <w:sz w:val="16"/>
                <w:szCs w:val="16"/>
              </w:rPr>
            </w:pPr>
            <w:r w:rsidRPr="001025FE">
              <w:rPr>
                <w:rFonts w:cs="Arial"/>
                <w:sz w:val="16"/>
                <w:szCs w:val="16"/>
              </w:rPr>
              <w:t>Up to £25,000</w:t>
            </w:r>
          </w:p>
        </w:tc>
      </w:tr>
      <w:tr w:rsidR="00F72C3B" w:rsidRPr="001025FE" w14:paraId="14FAEEAD" w14:textId="77777777" w:rsidTr="000D59CE">
        <w:trPr>
          <w:trHeight w:val="20"/>
        </w:trPr>
        <w:tc>
          <w:tcPr>
            <w:tcW w:w="877" w:type="pct"/>
            <w:vMerge/>
          </w:tcPr>
          <w:p w14:paraId="52CF1C69" w14:textId="77777777" w:rsidR="00F72C3B" w:rsidRPr="001025FE" w:rsidRDefault="00F72C3B" w:rsidP="000D59CE">
            <w:pPr>
              <w:ind w:right="-105"/>
              <w:rPr>
                <w:rFonts w:cs="Arial"/>
                <w:b/>
                <w:bCs/>
                <w:sz w:val="16"/>
                <w:szCs w:val="16"/>
              </w:rPr>
            </w:pPr>
          </w:p>
        </w:tc>
        <w:tc>
          <w:tcPr>
            <w:tcW w:w="1066" w:type="pct"/>
            <w:vMerge/>
          </w:tcPr>
          <w:p w14:paraId="6E81DB75" w14:textId="77777777" w:rsidR="00F72C3B" w:rsidRPr="001025FE" w:rsidRDefault="00F72C3B" w:rsidP="000D59CE">
            <w:pPr>
              <w:ind w:left="91" w:right="-39"/>
              <w:rPr>
                <w:rFonts w:cs="Arial"/>
                <w:b/>
                <w:bCs/>
                <w:sz w:val="16"/>
                <w:szCs w:val="16"/>
              </w:rPr>
            </w:pPr>
          </w:p>
        </w:tc>
        <w:tc>
          <w:tcPr>
            <w:tcW w:w="1066" w:type="pct"/>
            <w:vMerge/>
            <w:noWrap/>
            <w:vAlign w:val="center"/>
          </w:tcPr>
          <w:p w14:paraId="06CD0640" w14:textId="77777777" w:rsidR="00F72C3B" w:rsidRPr="001025FE" w:rsidRDefault="00F72C3B" w:rsidP="000D59CE">
            <w:pPr>
              <w:ind w:left="6" w:right="6"/>
              <w:rPr>
                <w:rFonts w:cs="Arial"/>
                <w:sz w:val="16"/>
                <w:szCs w:val="16"/>
              </w:rPr>
            </w:pPr>
          </w:p>
        </w:tc>
        <w:tc>
          <w:tcPr>
            <w:tcW w:w="1066" w:type="pct"/>
            <w:noWrap/>
            <w:vAlign w:val="center"/>
          </w:tcPr>
          <w:p w14:paraId="02758AB6" w14:textId="77777777" w:rsidR="00F72C3B" w:rsidRPr="001025FE" w:rsidRDefault="00F72C3B" w:rsidP="000D59CE">
            <w:pPr>
              <w:ind w:right="-92"/>
              <w:rPr>
                <w:rFonts w:cs="Arial"/>
                <w:sz w:val="16"/>
                <w:szCs w:val="16"/>
              </w:rPr>
            </w:pPr>
            <w:r w:rsidRPr="001025FE">
              <w:rPr>
                <w:rFonts w:cs="Arial"/>
                <w:sz w:val="16"/>
                <w:szCs w:val="16"/>
              </w:rPr>
              <w:t>Chief Finance Officer</w:t>
            </w:r>
          </w:p>
        </w:tc>
        <w:tc>
          <w:tcPr>
            <w:tcW w:w="925" w:type="pct"/>
            <w:noWrap/>
            <w:vAlign w:val="center"/>
          </w:tcPr>
          <w:p w14:paraId="72572A34" w14:textId="77777777" w:rsidR="00F72C3B" w:rsidRPr="001025FE" w:rsidRDefault="00F72C3B" w:rsidP="000D59CE">
            <w:pPr>
              <w:ind w:left="-15"/>
              <w:rPr>
                <w:rFonts w:cs="Arial"/>
                <w:sz w:val="16"/>
                <w:szCs w:val="16"/>
              </w:rPr>
            </w:pPr>
            <w:r w:rsidRPr="001025FE">
              <w:rPr>
                <w:rFonts w:cs="Arial"/>
                <w:sz w:val="16"/>
                <w:szCs w:val="16"/>
              </w:rPr>
              <w:t>Up to £100,000</w:t>
            </w:r>
          </w:p>
        </w:tc>
      </w:tr>
      <w:tr w:rsidR="00F72C3B" w:rsidRPr="001025FE" w14:paraId="46C4ED90" w14:textId="77777777" w:rsidTr="000D59CE">
        <w:trPr>
          <w:trHeight w:val="20"/>
        </w:trPr>
        <w:tc>
          <w:tcPr>
            <w:tcW w:w="877" w:type="pct"/>
            <w:vMerge/>
          </w:tcPr>
          <w:p w14:paraId="79A32EE6" w14:textId="77777777" w:rsidR="00F72C3B" w:rsidRPr="001025FE" w:rsidRDefault="00F72C3B" w:rsidP="000D59CE">
            <w:pPr>
              <w:ind w:right="-105"/>
              <w:rPr>
                <w:rFonts w:cs="Arial"/>
                <w:b/>
                <w:bCs/>
                <w:sz w:val="16"/>
                <w:szCs w:val="16"/>
              </w:rPr>
            </w:pPr>
          </w:p>
        </w:tc>
        <w:tc>
          <w:tcPr>
            <w:tcW w:w="1066" w:type="pct"/>
            <w:vMerge/>
          </w:tcPr>
          <w:p w14:paraId="044B1569" w14:textId="77777777" w:rsidR="00F72C3B" w:rsidRPr="001025FE" w:rsidRDefault="00F72C3B" w:rsidP="000D59CE">
            <w:pPr>
              <w:ind w:left="91" w:right="-39"/>
              <w:rPr>
                <w:rFonts w:cs="Arial"/>
                <w:b/>
                <w:bCs/>
                <w:sz w:val="16"/>
                <w:szCs w:val="16"/>
              </w:rPr>
            </w:pPr>
          </w:p>
        </w:tc>
        <w:tc>
          <w:tcPr>
            <w:tcW w:w="1066" w:type="pct"/>
            <w:vMerge/>
            <w:noWrap/>
            <w:vAlign w:val="center"/>
          </w:tcPr>
          <w:p w14:paraId="4F810754" w14:textId="77777777" w:rsidR="00F72C3B" w:rsidRPr="001025FE" w:rsidRDefault="00F72C3B" w:rsidP="000D59CE">
            <w:pPr>
              <w:ind w:left="6" w:right="6"/>
              <w:rPr>
                <w:rFonts w:cs="Arial"/>
                <w:sz w:val="16"/>
                <w:szCs w:val="16"/>
              </w:rPr>
            </w:pPr>
          </w:p>
        </w:tc>
        <w:tc>
          <w:tcPr>
            <w:tcW w:w="1066" w:type="pct"/>
            <w:noWrap/>
            <w:vAlign w:val="center"/>
          </w:tcPr>
          <w:p w14:paraId="24030579" w14:textId="77777777" w:rsidR="00F72C3B" w:rsidRPr="001025FE" w:rsidRDefault="00F72C3B" w:rsidP="000D59CE">
            <w:pPr>
              <w:ind w:right="-92"/>
              <w:rPr>
                <w:rFonts w:cs="Arial"/>
                <w:sz w:val="16"/>
                <w:szCs w:val="16"/>
              </w:rPr>
            </w:pPr>
            <w:r w:rsidRPr="001025FE">
              <w:rPr>
                <w:rFonts w:cs="Arial"/>
                <w:sz w:val="16"/>
                <w:szCs w:val="16"/>
              </w:rPr>
              <w:t>Vice Chancellor</w:t>
            </w:r>
          </w:p>
        </w:tc>
        <w:tc>
          <w:tcPr>
            <w:tcW w:w="925" w:type="pct"/>
            <w:noWrap/>
            <w:vAlign w:val="center"/>
          </w:tcPr>
          <w:p w14:paraId="22F5B246" w14:textId="77777777" w:rsidR="00F72C3B" w:rsidRPr="001025FE" w:rsidRDefault="00F72C3B" w:rsidP="000D59CE">
            <w:pPr>
              <w:ind w:left="-15"/>
              <w:rPr>
                <w:rFonts w:cs="Arial"/>
                <w:sz w:val="16"/>
                <w:szCs w:val="16"/>
              </w:rPr>
            </w:pPr>
            <w:r w:rsidRPr="001025FE">
              <w:rPr>
                <w:rFonts w:cs="Arial"/>
                <w:sz w:val="16"/>
                <w:szCs w:val="16"/>
              </w:rPr>
              <w:t>Over £100,000</w:t>
            </w:r>
          </w:p>
        </w:tc>
      </w:tr>
      <w:tr w:rsidR="00F72C3B" w:rsidRPr="001025FE" w14:paraId="589FCF5C" w14:textId="77777777" w:rsidTr="000D59CE">
        <w:trPr>
          <w:trHeight w:val="20"/>
        </w:trPr>
        <w:tc>
          <w:tcPr>
            <w:tcW w:w="877" w:type="pct"/>
            <w:vMerge w:val="restart"/>
            <w:noWrap/>
          </w:tcPr>
          <w:p w14:paraId="0BDA87C1" w14:textId="77777777" w:rsidR="00F72C3B" w:rsidRPr="001025FE" w:rsidRDefault="00F72C3B" w:rsidP="000D59CE">
            <w:pPr>
              <w:ind w:right="-105"/>
              <w:rPr>
                <w:rFonts w:cs="Arial"/>
                <w:b/>
                <w:bCs/>
                <w:sz w:val="16"/>
                <w:szCs w:val="16"/>
              </w:rPr>
            </w:pPr>
            <w:r w:rsidRPr="001025FE">
              <w:rPr>
                <w:rFonts w:cs="Arial"/>
                <w:b/>
                <w:bCs/>
                <w:sz w:val="16"/>
                <w:szCs w:val="16"/>
              </w:rPr>
              <w:t>Staff Costs</w:t>
            </w:r>
          </w:p>
        </w:tc>
        <w:tc>
          <w:tcPr>
            <w:tcW w:w="1066" w:type="pct"/>
            <w:noWrap/>
          </w:tcPr>
          <w:p w14:paraId="5996B3CE" w14:textId="77777777" w:rsidR="00F72C3B" w:rsidRPr="001025FE" w:rsidRDefault="00F72C3B" w:rsidP="000D59CE">
            <w:pPr>
              <w:ind w:left="91" w:right="-39"/>
              <w:rPr>
                <w:rFonts w:cs="Arial"/>
                <w:b/>
                <w:bCs/>
                <w:sz w:val="16"/>
                <w:szCs w:val="16"/>
              </w:rPr>
            </w:pPr>
            <w:r w:rsidRPr="001025FE">
              <w:rPr>
                <w:rFonts w:cs="Arial"/>
                <w:b/>
                <w:bCs/>
                <w:sz w:val="16"/>
                <w:szCs w:val="16"/>
              </w:rPr>
              <w:t>Approval of payroll</w:t>
            </w:r>
          </w:p>
        </w:tc>
        <w:tc>
          <w:tcPr>
            <w:tcW w:w="1066" w:type="pct"/>
            <w:noWrap/>
            <w:vAlign w:val="center"/>
          </w:tcPr>
          <w:p w14:paraId="057CC4A0" w14:textId="77777777" w:rsidR="00F72C3B" w:rsidRPr="001025FE" w:rsidRDefault="00F72C3B" w:rsidP="000D59CE">
            <w:pPr>
              <w:ind w:left="6" w:right="6"/>
              <w:rPr>
                <w:rFonts w:cs="Arial"/>
                <w:sz w:val="16"/>
                <w:szCs w:val="16"/>
              </w:rPr>
            </w:pPr>
            <w:r w:rsidRPr="001025FE">
              <w:rPr>
                <w:rFonts w:cs="Arial"/>
                <w:sz w:val="16"/>
                <w:szCs w:val="16"/>
              </w:rPr>
              <w:t>To approve payrolls prior to payment</w:t>
            </w:r>
          </w:p>
        </w:tc>
        <w:tc>
          <w:tcPr>
            <w:tcW w:w="1066" w:type="pct"/>
            <w:noWrap/>
            <w:vAlign w:val="center"/>
          </w:tcPr>
          <w:p w14:paraId="1E8FD8FD" w14:textId="77777777" w:rsidR="00F72C3B" w:rsidRPr="001025FE" w:rsidRDefault="00F72C3B" w:rsidP="000D59CE">
            <w:pPr>
              <w:ind w:right="-92"/>
              <w:rPr>
                <w:rFonts w:cs="Arial"/>
                <w:sz w:val="16"/>
                <w:szCs w:val="16"/>
              </w:rPr>
            </w:pPr>
            <w:r w:rsidRPr="001025FE">
              <w:rPr>
                <w:rFonts w:cs="Arial"/>
                <w:sz w:val="16"/>
                <w:szCs w:val="16"/>
              </w:rPr>
              <w:t>Deputy Chief Finance Officer</w:t>
            </w:r>
          </w:p>
        </w:tc>
        <w:tc>
          <w:tcPr>
            <w:tcW w:w="925" w:type="pct"/>
            <w:noWrap/>
            <w:vAlign w:val="center"/>
          </w:tcPr>
          <w:p w14:paraId="0F84117E" w14:textId="77777777" w:rsidR="00F72C3B" w:rsidRPr="001025FE" w:rsidRDefault="00F72C3B" w:rsidP="000D59CE">
            <w:pPr>
              <w:ind w:left="-15"/>
              <w:rPr>
                <w:rFonts w:cs="Arial"/>
                <w:sz w:val="16"/>
                <w:szCs w:val="16"/>
              </w:rPr>
            </w:pPr>
            <w:r w:rsidRPr="001025FE">
              <w:rPr>
                <w:rFonts w:cs="Arial"/>
                <w:sz w:val="16"/>
                <w:szCs w:val="16"/>
              </w:rPr>
              <w:t>N/A</w:t>
            </w:r>
          </w:p>
        </w:tc>
      </w:tr>
      <w:tr w:rsidR="00F72C3B" w:rsidRPr="001025FE" w14:paraId="1DF6C56B" w14:textId="77777777" w:rsidTr="000D59CE">
        <w:trPr>
          <w:trHeight w:val="20"/>
        </w:trPr>
        <w:tc>
          <w:tcPr>
            <w:tcW w:w="877" w:type="pct"/>
            <w:vMerge/>
          </w:tcPr>
          <w:p w14:paraId="05E2EC4B" w14:textId="77777777" w:rsidR="00F72C3B" w:rsidRPr="001025FE" w:rsidRDefault="00F72C3B" w:rsidP="000D59CE">
            <w:pPr>
              <w:ind w:right="-105"/>
              <w:rPr>
                <w:rFonts w:cs="Arial"/>
                <w:b/>
                <w:bCs/>
                <w:sz w:val="16"/>
                <w:szCs w:val="16"/>
              </w:rPr>
            </w:pPr>
          </w:p>
        </w:tc>
        <w:tc>
          <w:tcPr>
            <w:tcW w:w="1066" w:type="pct"/>
            <w:vMerge w:val="restart"/>
            <w:noWrap/>
          </w:tcPr>
          <w:p w14:paraId="6D8FB3FD" w14:textId="77777777" w:rsidR="00F72C3B" w:rsidRPr="001025FE" w:rsidRDefault="00F72C3B" w:rsidP="000D59CE">
            <w:pPr>
              <w:ind w:left="91" w:right="-39"/>
              <w:rPr>
                <w:rFonts w:cs="Arial"/>
                <w:b/>
                <w:bCs/>
                <w:sz w:val="16"/>
                <w:szCs w:val="16"/>
              </w:rPr>
            </w:pPr>
            <w:r w:rsidRPr="001025FE">
              <w:rPr>
                <w:rFonts w:cs="Arial"/>
                <w:b/>
                <w:bCs/>
                <w:sz w:val="16"/>
                <w:szCs w:val="16"/>
              </w:rPr>
              <w:t>Severance Payments</w:t>
            </w:r>
          </w:p>
        </w:tc>
        <w:tc>
          <w:tcPr>
            <w:tcW w:w="1066" w:type="pct"/>
            <w:noWrap/>
            <w:vAlign w:val="center"/>
          </w:tcPr>
          <w:p w14:paraId="3CF8DA56" w14:textId="77777777" w:rsidR="00F72C3B" w:rsidRPr="001025FE" w:rsidRDefault="00F72C3B" w:rsidP="000D59CE">
            <w:pPr>
              <w:ind w:left="6" w:right="6"/>
              <w:rPr>
                <w:rFonts w:cs="Arial"/>
                <w:sz w:val="16"/>
                <w:szCs w:val="16"/>
              </w:rPr>
            </w:pPr>
            <w:r w:rsidRPr="001025FE">
              <w:rPr>
                <w:rFonts w:cs="Arial"/>
                <w:sz w:val="16"/>
                <w:szCs w:val="16"/>
              </w:rPr>
              <w:t>To approve severance schemes or departmental reorganisations involving severance payments</w:t>
            </w:r>
          </w:p>
        </w:tc>
        <w:tc>
          <w:tcPr>
            <w:tcW w:w="1066" w:type="pct"/>
            <w:noWrap/>
            <w:vAlign w:val="center"/>
          </w:tcPr>
          <w:p w14:paraId="31DCDE99" w14:textId="44AA54B3" w:rsidR="00F72C3B" w:rsidRPr="001025FE" w:rsidRDefault="003F7586" w:rsidP="000D59CE">
            <w:pPr>
              <w:ind w:right="-92"/>
              <w:rPr>
                <w:rFonts w:cs="Arial"/>
                <w:sz w:val="16"/>
                <w:szCs w:val="16"/>
              </w:rPr>
            </w:pPr>
            <w:r>
              <w:rPr>
                <w:rFonts w:cs="Arial"/>
                <w:sz w:val="16"/>
                <w:szCs w:val="16"/>
              </w:rPr>
              <w:t>Senior Leadership Team</w:t>
            </w:r>
          </w:p>
        </w:tc>
        <w:tc>
          <w:tcPr>
            <w:tcW w:w="925" w:type="pct"/>
            <w:noWrap/>
            <w:vAlign w:val="center"/>
          </w:tcPr>
          <w:p w14:paraId="015466C2" w14:textId="77777777" w:rsidR="00F72C3B" w:rsidRPr="001025FE" w:rsidRDefault="00F72C3B" w:rsidP="000D59CE">
            <w:pPr>
              <w:ind w:left="-15"/>
              <w:rPr>
                <w:rFonts w:cs="Arial"/>
                <w:sz w:val="16"/>
                <w:szCs w:val="16"/>
              </w:rPr>
            </w:pPr>
            <w:r w:rsidRPr="001025FE">
              <w:rPr>
                <w:rFonts w:cs="Arial"/>
                <w:sz w:val="16"/>
                <w:szCs w:val="16"/>
              </w:rPr>
              <w:t>N/A</w:t>
            </w:r>
          </w:p>
        </w:tc>
      </w:tr>
      <w:tr w:rsidR="00F72C3B" w:rsidRPr="001025FE" w14:paraId="1DC2B533" w14:textId="77777777" w:rsidTr="000D59CE">
        <w:trPr>
          <w:trHeight w:val="20"/>
        </w:trPr>
        <w:tc>
          <w:tcPr>
            <w:tcW w:w="877" w:type="pct"/>
            <w:vMerge/>
          </w:tcPr>
          <w:p w14:paraId="1F006268" w14:textId="77777777" w:rsidR="00F72C3B" w:rsidRPr="001025FE" w:rsidRDefault="00F72C3B" w:rsidP="000D59CE">
            <w:pPr>
              <w:ind w:right="-105"/>
              <w:rPr>
                <w:rFonts w:cs="Arial"/>
                <w:b/>
                <w:bCs/>
                <w:sz w:val="16"/>
                <w:szCs w:val="16"/>
              </w:rPr>
            </w:pPr>
          </w:p>
        </w:tc>
        <w:tc>
          <w:tcPr>
            <w:tcW w:w="1066" w:type="pct"/>
            <w:vMerge/>
          </w:tcPr>
          <w:p w14:paraId="6CCBE82A" w14:textId="77777777" w:rsidR="00F72C3B" w:rsidRPr="001025FE" w:rsidRDefault="00F72C3B" w:rsidP="000D59CE">
            <w:pPr>
              <w:ind w:left="91" w:right="-39"/>
              <w:rPr>
                <w:rFonts w:cs="Arial"/>
                <w:b/>
                <w:bCs/>
                <w:sz w:val="16"/>
                <w:szCs w:val="16"/>
              </w:rPr>
            </w:pPr>
          </w:p>
        </w:tc>
        <w:tc>
          <w:tcPr>
            <w:tcW w:w="1066" w:type="pct"/>
            <w:vMerge w:val="restart"/>
            <w:vAlign w:val="center"/>
          </w:tcPr>
          <w:p w14:paraId="6596742D" w14:textId="5580270D" w:rsidR="00F72C3B" w:rsidRPr="001025FE" w:rsidRDefault="00F72C3B" w:rsidP="000D59CE">
            <w:pPr>
              <w:ind w:left="6" w:right="6"/>
              <w:rPr>
                <w:rFonts w:cs="Arial"/>
                <w:sz w:val="16"/>
                <w:szCs w:val="16"/>
              </w:rPr>
            </w:pPr>
            <w:r w:rsidRPr="001025FE">
              <w:rPr>
                <w:rFonts w:cs="Arial"/>
                <w:sz w:val="16"/>
                <w:szCs w:val="16"/>
              </w:rPr>
              <w:t xml:space="preserve">To approve individual severance payments where: </w:t>
            </w:r>
            <w:r w:rsidRPr="001025FE">
              <w:rPr>
                <w:rFonts w:cs="Arial"/>
                <w:sz w:val="16"/>
                <w:szCs w:val="16"/>
              </w:rPr>
              <w:br/>
              <w:t>a) employee's salary is less than £100,000 per annum, and</w:t>
            </w:r>
            <w:r w:rsidRPr="001025FE">
              <w:rPr>
                <w:rFonts w:cs="Arial"/>
                <w:sz w:val="16"/>
                <w:szCs w:val="16"/>
              </w:rPr>
              <w:br/>
              <w:t xml:space="preserve">b) employee is not a member of the </w:t>
            </w:r>
            <w:r w:rsidR="003F7586">
              <w:rPr>
                <w:rFonts w:cs="Arial"/>
                <w:sz w:val="16"/>
                <w:szCs w:val="16"/>
              </w:rPr>
              <w:t>Senior Leadership Team</w:t>
            </w:r>
          </w:p>
        </w:tc>
        <w:tc>
          <w:tcPr>
            <w:tcW w:w="1066" w:type="pct"/>
            <w:noWrap/>
            <w:vAlign w:val="center"/>
          </w:tcPr>
          <w:p w14:paraId="57F3CD92" w14:textId="77777777" w:rsidR="00F72C3B" w:rsidRPr="001025FE" w:rsidRDefault="00F72C3B" w:rsidP="000D59CE">
            <w:pPr>
              <w:ind w:right="-92"/>
              <w:rPr>
                <w:rFonts w:cs="Arial"/>
                <w:sz w:val="16"/>
                <w:szCs w:val="16"/>
              </w:rPr>
            </w:pPr>
            <w:r w:rsidRPr="001025FE">
              <w:rPr>
                <w:rFonts w:cs="Arial"/>
                <w:sz w:val="16"/>
                <w:szCs w:val="16"/>
              </w:rPr>
              <w:t>Director of Human Resources</w:t>
            </w:r>
          </w:p>
        </w:tc>
        <w:tc>
          <w:tcPr>
            <w:tcW w:w="925" w:type="pct"/>
            <w:vAlign w:val="center"/>
          </w:tcPr>
          <w:p w14:paraId="3F22311B" w14:textId="77777777" w:rsidR="00F72C3B" w:rsidRPr="001025FE" w:rsidRDefault="00F72C3B" w:rsidP="000D59CE">
            <w:pPr>
              <w:ind w:left="-15"/>
              <w:rPr>
                <w:rFonts w:cs="Arial"/>
                <w:sz w:val="16"/>
                <w:szCs w:val="16"/>
              </w:rPr>
            </w:pPr>
            <w:r w:rsidRPr="001025FE">
              <w:rPr>
                <w:rFonts w:cs="Arial"/>
                <w:sz w:val="16"/>
                <w:szCs w:val="16"/>
              </w:rPr>
              <w:t>Payments up to £50,000 (before payroll deduction but including pension strain costs)</w:t>
            </w:r>
          </w:p>
        </w:tc>
      </w:tr>
      <w:tr w:rsidR="00F72C3B" w:rsidRPr="001025FE" w14:paraId="35FFBF94" w14:textId="77777777" w:rsidTr="000D59CE">
        <w:trPr>
          <w:trHeight w:val="20"/>
        </w:trPr>
        <w:tc>
          <w:tcPr>
            <w:tcW w:w="877" w:type="pct"/>
            <w:vMerge/>
          </w:tcPr>
          <w:p w14:paraId="51AE1794" w14:textId="77777777" w:rsidR="00F72C3B" w:rsidRPr="001025FE" w:rsidRDefault="00F72C3B" w:rsidP="000D59CE">
            <w:pPr>
              <w:ind w:right="-105"/>
              <w:rPr>
                <w:rFonts w:cs="Arial"/>
                <w:b/>
                <w:bCs/>
                <w:sz w:val="16"/>
                <w:szCs w:val="16"/>
              </w:rPr>
            </w:pPr>
          </w:p>
        </w:tc>
        <w:tc>
          <w:tcPr>
            <w:tcW w:w="1066" w:type="pct"/>
            <w:vMerge/>
          </w:tcPr>
          <w:p w14:paraId="1ECB6F7F" w14:textId="77777777" w:rsidR="00F72C3B" w:rsidRPr="001025FE" w:rsidRDefault="00F72C3B" w:rsidP="000D59CE">
            <w:pPr>
              <w:ind w:left="91" w:right="-39"/>
              <w:rPr>
                <w:rFonts w:cs="Arial"/>
                <w:b/>
                <w:bCs/>
                <w:sz w:val="16"/>
                <w:szCs w:val="16"/>
              </w:rPr>
            </w:pPr>
          </w:p>
        </w:tc>
        <w:tc>
          <w:tcPr>
            <w:tcW w:w="1066" w:type="pct"/>
            <w:vMerge/>
            <w:vAlign w:val="center"/>
          </w:tcPr>
          <w:p w14:paraId="7D810FBC" w14:textId="77777777" w:rsidR="00F72C3B" w:rsidRPr="001025FE" w:rsidRDefault="00F72C3B" w:rsidP="000D59CE">
            <w:pPr>
              <w:ind w:left="6" w:right="6"/>
              <w:rPr>
                <w:rFonts w:cs="Arial"/>
                <w:sz w:val="16"/>
                <w:szCs w:val="16"/>
              </w:rPr>
            </w:pPr>
          </w:p>
        </w:tc>
        <w:tc>
          <w:tcPr>
            <w:tcW w:w="1066" w:type="pct"/>
            <w:vAlign w:val="center"/>
          </w:tcPr>
          <w:p w14:paraId="5B458CC4" w14:textId="77777777" w:rsidR="00F72C3B" w:rsidRPr="001025FE" w:rsidRDefault="00F72C3B" w:rsidP="000D59CE">
            <w:pPr>
              <w:ind w:right="-92"/>
              <w:rPr>
                <w:rFonts w:cs="Arial"/>
                <w:sz w:val="16"/>
                <w:szCs w:val="16"/>
              </w:rPr>
            </w:pPr>
            <w:r w:rsidRPr="001025FE">
              <w:rPr>
                <w:rFonts w:cs="Arial"/>
                <w:sz w:val="16"/>
                <w:szCs w:val="16"/>
              </w:rPr>
              <w:t>Both the Director of Human Resources and Chief Finance Officer</w:t>
            </w:r>
          </w:p>
        </w:tc>
        <w:tc>
          <w:tcPr>
            <w:tcW w:w="925" w:type="pct"/>
            <w:vAlign w:val="center"/>
          </w:tcPr>
          <w:p w14:paraId="16362395" w14:textId="77777777" w:rsidR="00F72C3B" w:rsidRPr="001025FE" w:rsidRDefault="00F72C3B" w:rsidP="00B84278">
            <w:pPr>
              <w:ind w:right="-92"/>
              <w:rPr>
                <w:rFonts w:cs="Arial"/>
                <w:sz w:val="16"/>
                <w:szCs w:val="16"/>
              </w:rPr>
            </w:pPr>
            <w:r w:rsidRPr="001025FE">
              <w:rPr>
                <w:rFonts w:cs="Arial"/>
                <w:sz w:val="16"/>
                <w:szCs w:val="16"/>
              </w:rPr>
              <w:t>Payments over £50,000 but less than £100,000 (before payroll deduction but including pension strain costs)</w:t>
            </w:r>
          </w:p>
        </w:tc>
      </w:tr>
      <w:tr w:rsidR="00F72C3B" w:rsidRPr="001025FE" w14:paraId="073F5765" w14:textId="77777777" w:rsidTr="000D59CE">
        <w:trPr>
          <w:trHeight w:val="20"/>
        </w:trPr>
        <w:tc>
          <w:tcPr>
            <w:tcW w:w="877" w:type="pct"/>
            <w:vMerge/>
          </w:tcPr>
          <w:p w14:paraId="2F65704D" w14:textId="77777777" w:rsidR="00F72C3B" w:rsidRPr="001025FE" w:rsidRDefault="00F72C3B" w:rsidP="000D59CE">
            <w:pPr>
              <w:ind w:right="-105"/>
              <w:rPr>
                <w:rFonts w:cs="Arial"/>
                <w:b/>
                <w:bCs/>
                <w:sz w:val="16"/>
                <w:szCs w:val="16"/>
              </w:rPr>
            </w:pPr>
          </w:p>
        </w:tc>
        <w:tc>
          <w:tcPr>
            <w:tcW w:w="1066" w:type="pct"/>
            <w:vMerge/>
          </w:tcPr>
          <w:p w14:paraId="61920426" w14:textId="77777777" w:rsidR="00F72C3B" w:rsidRPr="001025FE" w:rsidRDefault="00F72C3B" w:rsidP="000D59CE">
            <w:pPr>
              <w:ind w:left="91" w:right="-39"/>
              <w:rPr>
                <w:rFonts w:cs="Arial"/>
                <w:b/>
                <w:bCs/>
                <w:sz w:val="16"/>
                <w:szCs w:val="16"/>
              </w:rPr>
            </w:pPr>
          </w:p>
        </w:tc>
        <w:tc>
          <w:tcPr>
            <w:tcW w:w="1066" w:type="pct"/>
            <w:vMerge/>
            <w:vAlign w:val="center"/>
          </w:tcPr>
          <w:p w14:paraId="39B61F44" w14:textId="77777777" w:rsidR="00F72C3B" w:rsidRPr="001025FE" w:rsidRDefault="00F72C3B" w:rsidP="000D59CE">
            <w:pPr>
              <w:ind w:left="6" w:right="6"/>
              <w:rPr>
                <w:rFonts w:cs="Arial"/>
                <w:sz w:val="16"/>
                <w:szCs w:val="16"/>
              </w:rPr>
            </w:pPr>
          </w:p>
        </w:tc>
        <w:tc>
          <w:tcPr>
            <w:tcW w:w="1066" w:type="pct"/>
            <w:vAlign w:val="center"/>
          </w:tcPr>
          <w:p w14:paraId="1ADA380A" w14:textId="77777777" w:rsidR="00F72C3B" w:rsidRPr="001025FE" w:rsidRDefault="00F72C3B" w:rsidP="00B86E95">
            <w:pPr>
              <w:ind w:right="-92"/>
              <w:rPr>
                <w:rFonts w:cs="Arial"/>
                <w:sz w:val="16"/>
                <w:szCs w:val="16"/>
              </w:rPr>
            </w:pPr>
            <w:r w:rsidRPr="001025FE">
              <w:rPr>
                <w:rFonts w:cs="Arial"/>
                <w:sz w:val="16"/>
                <w:szCs w:val="16"/>
              </w:rPr>
              <w:t>Board of Governors Remuneration Committee</w:t>
            </w:r>
          </w:p>
        </w:tc>
        <w:tc>
          <w:tcPr>
            <w:tcW w:w="925" w:type="pct"/>
            <w:vAlign w:val="center"/>
          </w:tcPr>
          <w:p w14:paraId="40A4A449" w14:textId="77777777" w:rsidR="00F72C3B" w:rsidRPr="001025FE" w:rsidRDefault="00F72C3B" w:rsidP="00B86E95">
            <w:pPr>
              <w:ind w:right="-92"/>
              <w:rPr>
                <w:rFonts w:cs="Arial"/>
                <w:sz w:val="16"/>
                <w:szCs w:val="16"/>
              </w:rPr>
            </w:pPr>
            <w:r w:rsidRPr="001025FE">
              <w:rPr>
                <w:rFonts w:cs="Arial"/>
                <w:sz w:val="16"/>
                <w:szCs w:val="16"/>
              </w:rPr>
              <w:t>Payments £100,000 and over (before payroll deduction but including pension strain costs)</w:t>
            </w:r>
          </w:p>
        </w:tc>
      </w:tr>
      <w:tr w:rsidR="00F72C3B" w:rsidRPr="001025FE" w14:paraId="6B369AC1" w14:textId="77777777" w:rsidTr="000D59CE">
        <w:trPr>
          <w:trHeight w:val="20"/>
        </w:trPr>
        <w:tc>
          <w:tcPr>
            <w:tcW w:w="877" w:type="pct"/>
            <w:vMerge/>
          </w:tcPr>
          <w:p w14:paraId="24086D20" w14:textId="77777777" w:rsidR="00F72C3B" w:rsidRPr="001025FE" w:rsidRDefault="00F72C3B" w:rsidP="000D59CE">
            <w:pPr>
              <w:ind w:right="-105"/>
              <w:rPr>
                <w:rFonts w:cs="Arial"/>
                <w:b/>
                <w:bCs/>
                <w:sz w:val="16"/>
                <w:szCs w:val="16"/>
              </w:rPr>
            </w:pPr>
          </w:p>
        </w:tc>
        <w:tc>
          <w:tcPr>
            <w:tcW w:w="1066" w:type="pct"/>
            <w:vMerge/>
          </w:tcPr>
          <w:p w14:paraId="724F1746" w14:textId="77777777" w:rsidR="00F72C3B" w:rsidRPr="001025FE" w:rsidRDefault="00F72C3B" w:rsidP="000D59CE">
            <w:pPr>
              <w:ind w:left="91" w:right="-39"/>
              <w:rPr>
                <w:rFonts w:cs="Arial"/>
                <w:b/>
                <w:bCs/>
                <w:sz w:val="16"/>
                <w:szCs w:val="16"/>
              </w:rPr>
            </w:pPr>
          </w:p>
        </w:tc>
        <w:tc>
          <w:tcPr>
            <w:tcW w:w="1066" w:type="pct"/>
            <w:vAlign w:val="center"/>
          </w:tcPr>
          <w:p w14:paraId="5F3CD08A" w14:textId="3066F743" w:rsidR="00F72C3B" w:rsidRPr="001025FE" w:rsidRDefault="00F72C3B" w:rsidP="000D59CE">
            <w:pPr>
              <w:ind w:left="6" w:right="6"/>
              <w:rPr>
                <w:rFonts w:cs="Arial"/>
                <w:sz w:val="16"/>
                <w:szCs w:val="16"/>
              </w:rPr>
            </w:pPr>
            <w:r w:rsidRPr="001025FE">
              <w:rPr>
                <w:rFonts w:cs="Arial"/>
                <w:sz w:val="16"/>
                <w:szCs w:val="16"/>
              </w:rPr>
              <w:t xml:space="preserve">To approve individual severance payments where: </w:t>
            </w:r>
            <w:r w:rsidRPr="001025FE">
              <w:rPr>
                <w:rFonts w:cs="Arial"/>
                <w:sz w:val="16"/>
                <w:szCs w:val="16"/>
              </w:rPr>
              <w:br/>
              <w:t>a) employee's salary is more than £100,000 per annum, or</w:t>
            </w:r>
            <w:r w:rsidRPr="001025FE">
              <w:rPr>
                <w:rFonts w:cs="Arial"/>
                <w:sz w:val="16"/>
                <w:szCs w:val="16"/>
              </w:rPr>
              <w:br/>
              <w:t xml:space="preserve">b) employee is a member of the </w:t>
            </w:r>
            <w:r w:rsidR="003F7586">
              <w:rPr>
                <w:rFonts w:cs="Arial"/>
                <w:sz w:val="16"/>
                <w:szCs w:val="16"/>
              </w:rPr>
              <w:t>Senior Leadership Team</w:t>
            </w:r>
          </w:p>
        </w:tc>
        <w:tc>
          <w:tcPr>
            <w:tcW w:w="1066" w:type="pct"/>
            <w:vAlign w:val="center"/>
          </w:tcPr>
          <w:p w14:paraId="3B191E91" w14:textId="77777777" w:rsidR="00F72C3B" w:rsidRPr="001025FE" w:rsidRDefault="00F72C3B" w:rsidP="000D59CE">
            <w:pPr>
              <w:ind w:right="-92"/>
              <w:rPr>
                <w:rFonts w:cs="Arial"/>
                <w:sz w:val="16"/>
                <w:szCs w:val="16"/>
              </w:rPr>
            </w:pPr>
            <w:r w:rsidRPr="001025FE">
              <w:rPr>
                <w:rFonts w:cs="Arial"/>
                <w:sz w:val="16"/>
                <w:szCs w:val="16"/>
              </w:rPr>
              <w:t>Board of Governors Remuneration Committee</w:t>
            </w:r>
          </w:p>
        </w:tc>
        <w:tc>
          <w:tcPr>
            <w:tcW w:w="925" w:type="pct"/>
            <w:vAlign w:val="center"/>
          </w:tcPr>
          <w:p w14:paraId="4DB671BF" w14:textId="77777777" w:rsidR="00F72C3B" w:rsidRPr="001025FE" w:rsidRDefault="00F72C3B" w:rsidP="000D59CE">
            <w:pPr>
              <w:ind w:left="-15"/>
              <w:rPr>
                <w:rFonts w:cs="Arial"/>
                <w:sz w:val="16"/>
                <w:szCs w:val="16"/>
              </w:rPr>
            </w:pPr>
            <w:r w:rsidRPr="001025FE">
              <w:rPr>
                <w:rFonts w:cs="Arial"/>
                <w:sz w:val="16"/>
                <w:szCs w:val="16"/>
              </w:rPr>
              <w:t>Any value</w:t>
            </w:r>
          </w:p>
        </w:tc>
      </w:tr>
      <w:tr w:rsidR="00F72C3B" w:rsidRPr="001025FE" w14:paraId="202E1382" w14:textId="77777777" w:rsidTr="000D59CE">
        <w:trPr>
          <w:trHeight w:val="20"/>
        </w:trPr>
        <w:tc>
          <w:tcPr>
            <w:tcW w:w="877" w:type="pct"/>
            <w:vMerge w:val="restart"/>
            <w:noWrap/>
          </w:tcPr>
          <w:p w14:paraId="28DBCD4F" w14:textId="77777777" w:rsidR="00F72C3B" w:rsidRPr="001025FE" w:rsidRDefault="00F72C3B" w:rsidP="000D59CE">
            <w:pPr>
              <w:ind w:right="-105"/>
              <w:rPr>
                <w:rFonts w:cs="Arial"/>
                <w:b/>
                <w:bCs/>
                <w:sz w:val="16"/>
                <w:szCs w:val="16"/>
              </w:rPr>
            </w:pPr>
            <w:r w:rsidRPr="001025FE">
              <w:rPr>
                <w:rFonts w:cs="Arial"/>
                <w:b/>
                <w:bCs/>
                <w:sz w:val="16"/>
                <w:szCs w:val="16"/>
              </w:rPr>
              <w:t xml:space="preserve">Budget </w:t>
            </w:r>
            <w:proofErr w:type="spellStart"/>
            <w:r w:rsidRPr="001025FE">
              <w:rPr>
                <w:rFonts w:cs="Arial"/>
                <w:b/>
                <w:bCs/>
                <w:sz w:val="16"/>
                <w:szCs w:val="16"/>
              </w:rPr>
              <w:t>Virement</w:t>
            </w:r>
            <w:proofErr w:type="spellEnd"/>
          </w:p>
        </w:tc>
        <w:tc>
          <w:tcPr>
            <w:tcW w:w="1066" w:type="pct"/>
            <w:vMerge w:val="restart"/>
            <w:noWrap/>
          </w:tcPr>
          <w:p w14:paraId="13601875" w14:textId="77777777" w:rsidR="00F72C3B" w:rsidRPr="001025FE" w:rsidRDefault="00F72C3B" w:rsidP="000D59CE">
            <w:pPr>
              <w:ind w:left="91" w:right="-39"/>
              <w:rPr>
                <w:rFonts w:cs="Arial"/>
                <w:b/>
                <w:bCs/>
                <w:sz w:val="16"/>
                <w:szCs w:val="16"/>
              </w:rPr>
            </w:pPr>
            <w:r w:rsidRPr="001025FE">
              <w:rPr>
                <w:rFonts w:cs="Arial"/>
                <w:b/>
                <w:bCs/>
                <w:sz w:val="16"/>
                <w:szCs w:val="16"/>
              </w:rPr>
              <w:t>Within approved capital projects</w:t>
            </w:r>
          </w:p>
          <w:p w14:paraId="6897024A" w14:textId="77777777" w:rsidR="00F72C3B" w:rsidRPr="001025FE" w:rsidRDefault="00F72C3B" w:rsidP="000D59CE">
            <w:pPr>
              <w:ind w:left="91" w:right="-39"/>
              <w:rPr>
                <w:rFonts w:cs="Arial"/>
                <w:b/>
                <w:bCs/>
                <w:sz w:val="16"/>
                <w:szCs w:val="16"/>
              </w:rPr>
            </w:pPr>
            <w:r w:rsidRPr="001025FE">
              <w:rPr>
                <w:rFonts w:cs="Arial"/>
                <w:b/>
                <w:bCs/>
                <w:sz w:val="16"/>
                <w:szCs w:val="16"/>
              </w:rPr>
              <w:t> </w:t>
            </w:r>
          </w:p>
        </w:tc>
        <w:tc>
          <w:tcPr>
            <w:tcW w:w="1066" w:type="pct"/>
            <w:vMerge w:val="restart"/>
            <w:vAlign w:val="center"/>
          </w:tcPr>
          <w:p w14:paraId="043FBD28" w14:textId="77777777" w:rsidR="00F72C3B" w:rsidRPr="001025FE" w:rsidRDefault="00F72C3B" w:rsidP="000D59CE">
            <w:pPr>
              <w:ind w:left="6" w:right="6"/>
              <w:rPr>
                <w:rFonts w:cs="Arial"/>
                <w:sz w:val="16"/>
                <w:szCs w:val="16"/>
              </w:rPr>
            </w:pPr>
            <w:r w:rsidRPr="001025FE">
              <w:rPr>
                <w:rFonts w:cs="Arial"/>
                <w:sz w:val="16"/>
                <w:szCs w:val="16"/>
              </w:rPr>
              <w:t xml:space="preserve">To approve the </w:t>
            </w:r>
            <w:proofErr w:type="spellStart"/>
            <w:r w:rsidRPr="001025FE">
              <w:rPr>
                <w:rFonts w:cs="Arial"/>
                <w:sz w:val="16"/>
                <w:szCs w:val="16"/>
              </w:rPr>
              <w:t>virement</w:t>
            </w:r>
            <w:proofErr w:type="spellEnd"/>
            <w:r w:rsidRPr="001025FE">
              <w:rPr>
                <w:rFonts w:cs="Arial"/>
                <w:sz w:val="16"/>
                <w:szCs w:val="16"/>
              </w:rPr>
              <w:t xml:space="preserve"> of funds between capital projects</w:t>
            </w:r>
          </w:p>
          <w:p w14:paraId="1C486D11" w14:textId="77777777" w:rsidR="00F72C3B" w:rsidRPr="001025FE" w:rsidRDefault="00F72C3B" w:rsidP="000D59CE">
            <w:pPr>
              <w:ind w:left="6" w:right="6"/>
              <w:rPr>
                <w:rFonts w:cs="Arial"/>
                <w:sz w:val="16"/>
                <w:szCs w:val="16"/>
              </w:rPr>
            </w:pPr>
          </w:p>
        </w:tc>
        <w:tc>
          <w:tcPr>
            <w:tcW w:w="1066" w:type="pct"/>
            <w:vAlign w:val="center"/>
          </w:tcPr>
          <w:p w14:paraId="218CEE3C" w14:textId="77777777" w:rsidR="00F72C3B" w:rsidRPr="001025FE" w:rsidRDefault="00F72C3B" w:rsidP="000D59CE">
            <w:pPr>
              <w:ind w:right="-92"/>
              <w:rPr>
                <w:rFonts w:cs="Arial"/>
                <w:sz w:val="16"/>
                <w:szCs w:val="16"/>
              </w:rPr>
            </w:pPr>
            <w:r w:rsidRPr="001025FE">
              <w:rPr>
                <w:rFonts w:cs="Arial"/>
                <w:sz w:val="16"/>
                <w:szCs w:val="16"/>
              </w:rPr>
              <w:t>Both the Vice Chancellor and the Chief Finance Officer</w:t>
            </w:r>
          </w:p>
        </w:tc>
        <w:tc>
          <w:tcPr>
            <w:tcW w:w="925" w:type="pct"/>
            <w:vAlign w:val="center"/>
          </w:tcPr>
          <w:p w14:paraId="369C2B18" w14:textId="1F546719" w:rsidR="00F72C3B" w:rsidRPr="001025FE" w:rsidRDefault="00297A21" w:rsidP="000D59CE">
            <w:pPr>
              <w:ind w:left="-15"/>
              <w:rPr>
                <w:rFonts w:cs="Arial"/>
                <w:sz w:val="16"/>
                <w:szCs w:val="16"/>
              </w:rPr>
            </w:pPr>
            <w:r>
              <w:rPr>
                <w:rFonts w:cs="Arial"/>
                <w:sz w:val="16"/>
                <w:szCs w:val="16"/>
              </w:rPr>
              <w:t>Up to £5</w:t>
            </w:r>
            <w:r w:rsidR="00F72C3B" w:rsidRPr="001025FE">
              <w:rPr>
                <w:rFonts w:cs="Arial"/>
                <w:sz w:val="16"/>
                <w:szCs w:val="16"/>
              </w:rPr>
              <w:t>00,000 per capital project</w:t>
            </w:r>
          </w:p>
        </w:tc>
      </w:tr>
      <w:tr w:rsidR="00F72C3B" w:rsidRPr="001025FE" w14:paraId="5200532C" w14:textId="77777777" w:rsidTr="000D59CE">
        <w:trPr>
          <w:trHeight w:val="20"/>
        </w:trPr>
        <w:tc>
          <w:tcPr>
            <w:tcW w:w="877" w:type="pct"/>
            <w:vMerge/>
          </w:tcPr>
          <w:p w14:paraId="22AF2943" w14:textId="77777777" w:rsidR="00F72C3B" w:rsidRPr="001025FE" w:rsidRDefault="00F72C3B" w:rsidP="000D59CE">
            <w:pPr>
              <w:ind w:right="-105"/>
              <w:rPr>
                <w:rFonts w:cs="Arial"/>
                <w:b/>
                <w:bCs/>
                <w:sz w:val="16"/>
                <w:szCs w:val="16"/>
              </w:rPr>
            </w:pPr>
          </w:p>
        </w:tc>
        <w:tc>
          <w:tcPr>
            <w:tcW w:w="1066" w:type="pct"/>
            <w:vMerge/>
            <w:noWrap/>
          </w:tcPr>
          <w:p w14:paraId="34CEAA4F" w14:textId="77777777" w:rsidR="00F72C3B" w:rsidRPr="001025FE" w:rsidRDefault="00F72C3B" w:rsidP="000D59CE">
            <w:pPr>
              <w:ind w:left="91" w:right="-39"/>
              <w:rPr>
                <w:rFonts w:cs="Arial"/>
                <w:b/>
                <w:bCs/>
                <w:sz w:val="16"/>
                <w:szCs w:val="16"/>
              </w:rPr>
            </w:pPr>
          </w:p>
        </w:tc>
        <w:tc>
          <w:tcPr>
            <w:tcW w:w="1066" w:type="pct"/>
            <w:vMerge/>
            <w:vAlign w:val="center"/>
          </w:tcPr>
          <w:p w14:paraId="776870A9" w14:textId="77777777" w:rsidR="00F72C3B" w:rsidRPr="001025FE" w:rsidRDefault="00F72C3B" w:rsidP="000D59CE">
            <w:pPr>
              <w:ind w:left="6" w:right="6"/>
              <w:rPr>
                <w:rFonts w:cs="Arial"/>
                <w:sz w:val="16"/>
                <w:szCs w:val="16"/>
              </w:rPr>
            </w:pPr>
          </w:p>
        </w:tc>
        <w:tc>
          <w:tcPr>
            <w:tcW w:w="1066" w:type="pct"/>
            <w:noWrap/>
            <w:vAlign w:val="center"/>
          </w:tcPr>
          <w:p w14:paraId="7CB70D09" w14:textId="77777777" w:rsidR="00F72C3B" w:rsidRPr="001025FE" w:rsidRDefault="00F72C3B" w:rsidP="000D59CE">
            <w:pPr>
              <w:ind w:right="-92"/>
              <w:rPr>
                <w:rFonts w:cs="Arial"/>
                <w:sz w:val="16"/>
                <w:szCs w:val="16"/>
              </w:rPr>
            </w:pPr>
            <w:r w:rsidRPr="001025FE">
              <w:rPr>
                <w:rFonts w:cs="Arial"/>
                <w:sz w:val="16"/>
                <w:szCs w:val="16"/>
              </w:rPr>
              <w:t>Board of Governors</w:t>
            </w:r>
          </w:p>
        </w:tc>
        <w:tc>
          <w:tcPr>
            <w:tcW w:w="925" w:type="pct"/>
            <w:vAlign w:val="center"/>
          </w:tcPr>
          <w:p w14:paraId="157C0609" w14:textId="38EE51A7" w:rsidR="00F72C3B" w:rsidRPr="001025FE" w:rsidRDefault="00297A21" w:rsidP="000D59CE">
            <w:pPr>
              <w:ind w:left="-15"/>
              <w:rPr>
                <w:rFonts w:cs="Arial"/>
                <w:sz w:val="16"/>
                <w:szCs w:val="16"/>
              </w:rPr>
            </w:pPr>
            <w:r>
              <w:rPr>
                <w:rFonts w:cs="Arial"/>
                <w:sz w:val="16"/>
                <w:szCs w:val="16"/>
              </w:rPr>
              <w:t>Over £5</w:t>
            </w:r>
            <w:r w:rsidR="00F72C3B" w:rsidRPr="001025FE">
              <w:rPr>
                <w:rFonts w:cs="Arial"/>
                <w:sz w:val="16"/>
                <w:szCs w:val="16"/>
              </w:rPr>
              <w:t>00,000 per capital project</w:t>
            </w:r>
          </w:p>
        </w:tc>
      </w:tr>
      <w:tr w:rsidR="00F72C3B" w:rsidRPr="001025FE" w14:paraId="0DDAD12F" w14:textId="77777777" w:rsidTr="000D59CE">
        <w:trPr>
          <w:trHeight w:val="20"/>
        </w:trPr>
        <w:tc>
          <w:tcPr>
            <w:tcW w:w="877" w:type="pct"/>
            <w:vMerge/>
          </w:tcPr>
          <w:p w14:paraId="718398E5" w14:textId="77777777" w:rsidR="00F72C3B" w:rsidRPr="001025FE" w:rsidRDefault="00F72C3B" w:rsidP="000D59CE">
            <w:pPr>
              <w:ind w:right="-105"/>
              <w:rPr>
                <w:rFonts w:cs="Arial"/>
                <w:b/>
                <w:bCs/>
                <w:sz w:val="16"/>
                <w:szCs w:val="16"/>
              </w:rPr>
            </w:pPr>
          </w:p>
        </w:tc>
        <w:tc>
          <w:tcPr>
            <w:tcW w:w="1066" w:type="pct"/>
            <w:vMerge w:val="restart"/>
            <w:noWrap/>
          </w:tcPr>
          <w:p w14:paraId="608D8831" w14:textId="77777777" w:rsidR="00F72C3B" w:rsidRPr="001025FE" w:rsidRDefault="00F72C3B" w:rsidP="000D59CE">
            <w:pPr>
              <w:ind w:left="91" w:right="-39"/>
              <w:rPr>
                <w:rFonts w:cs="Arial"/>
                <w:b/>
                <w:bCs/>
                <w:sz w:val="16"/>
                <w:szCs w:val="16"/>
              </w:rPr>
            </w:pPr>
            <w:proofErr w:type="spellStart"/>
            <w:r w:rsidRPr="001025FE">
              <w:rPr>
                <w:rFonts w:cs="Arial"/>
                <w:b/>
                <w:bCs/>
                <w:sz w:val="16"/>
                <w:szCs w:val="16"/>
              </w:rPr>
              <w:t>Virements</w:t>
            </w:r>
            <w:proofErr w:type="spellEnd"/>
            <w:r w:rsidRPr="001025FE">
              <w:rPr>
                <w:rFonts w:cs="Arial"/>
                <w:b/>
                <w:bCs/>
                <w:sz w:val="16"/>
                <w:szCs w:val="16"/>
              </w:rPr>
              <w:t xml:space="preserve"> between revenue and capital budgets on Estates projects</w:t>
            </w:r>
          </w:p>
          <w:p w14:paraId="30AEBB82" w14:textId="77777777" w:rsidR="00F72C3B" w:rsidRPr="001025FE" w:rsidRDefault="00F72C3B" w:rsidP="000D59CE">
            <w:pPr>
              <w:ind w:left="91" w:right="-39"/>
              <w:rPr>
                <w:rFonts w:cs="Arial"/>
                <w:b/>
                <w:bCs/>
                <w:sz w:val="16"/>
                <w:szCs w:val="16"/>
              </w:rPr>
            </w:pPr>
            <w:r w:rsidRPr="001025FE">
              <w:rPr>
                <w:rFonts w:cs="Arial"/>
                <w:b/>
                <w:bCs/>
                <w:sz w:val="16"/>
                <w:szCs w:val="16"/>
              </w:rPr>
              <w:t> </w:t>
            </w:r>
          </w:p>
        </w:tc>
        <w:tc>
          <w:tcPr>
            <w:tcW w:w="1066" w:type="pct"/>
            <w:vMerge w:val="restart"/>
            <w:vAlign w:val="center"/>
          </w:tcPr>
          <w:p w14:paraId="3A5C3FCC" w14:textId="77777777" w:rsidR="00F72C3B" w:rsidRPr="001025FE" w:rsidRDefault="00F72C3B" w:rsidP="000D59CE">
            <w:pPr>
              <w:ind w:left="6" w:right="6"/>
              <w:rPr>
                <w:rFonts w:cs="Arial"/>
                <w:sz w:val="16"/>
                <w:szCs w:val="16"/>
              </w:rPr>
            </w:pPr>
            <w:r w:rsidRPr="001025FE">
              <w:rPr>
                <w:rFonts w:cs="Arial"/>
                <w:sz w:val="16"/>
                <w:szCs w:val="16"/>
              </w:rPr>
              <w:t xml:space="preserve">To approve the </w:t>
            </w:r>
            <w:proofErr w:type="spellStart"/>
            <w:r w:rsidRPr="001025FE">
              <w:rPr>
                <w:rFonts w:cs="Arial"/>
                <w:sz w:val="16"/>
                <w:szCs w:val="16"/>
              </w:rPr>
              <w:t>virement</w:t>
            </w:r>
            <w:proofErr w:type="spellEnd"/>
            <w:r w:rsidRPr="001025FE">
              <w:rPr>
                <w:rFonts w:cs="Arial"/>
                <w:sz w:val="16"/>
                <w:szCs w:val="16"/>
              </w:rPr>
              <w:t xml:space="preserve"> of funds from revenue to capital or vice versa</w:t>
            </w:r>
          </w:p>
          <w:p w14:paraId="00083939" w14:textId="77777777" w:rsidR="00F72C3B" w:rsidRPr="001025FE" w:rsidRDefault="00F72C3B" w:rsidP="000D59CE">
            <w:pPr>
              <w:ind w:left="6" w:right="6"/>
              <w:rPr>
                <w:rFonts w:cs="Arial"/>
                <w:sz w:val="16"/>
                <w:szCs w:val="16"/>
              </w:rPr>
            </w:pPr>
          </w:p>
        </w:tc>
        <w:tc>
          <w:tcPr>
            <w:tcW w:w="1066" w:type="pct"/>
            <w:vAlign w:val="center"/>
          </w:tcPr>
          <w:p w14:paraId="5687F774" w14:textId="77777777" w:rsidR="00F72C3B" w:rsidRPr="001025FE" w:rsidRDefault="00F72C3B" w:rsidP="000D59CE">
            <w:pPr>
              <w:ind w:right="-92"/>
              <w:rPr>
                <w:rFonts w:cs="Arial"/>
                <w:sz w:val="16"/>
                <w:szCs w:val="16"/>
              </w:rPr>
            </w:pPr>
            <w:r w:rsidRPr="001025FE">
              <w:rPr>
                <w:rFonts w:cs="Arial"/>
                <w:sz w:val="16"/>
                <w:szCs w:val="16"/>
              </w:rPr>
              <w:t>Both the Vice Chancellor and the Chief Finance Officer</w:t>
            </w:r>
          </w:p>
        </w:tc>
        <w:tc>
          <w:tcPr>
            <w:tcW w:w="925" w:type="pct"/>
            <w:vAlign w:val="center"/>
          </w:tcPr>
          <w:p w14:paraId="392CFC60" w14:textId="5E9F7365" w:rsidR="00F72C3B" w:rsidRPr="001025FE" w:rsidRDefault="00297A21" w:rsidP="000D59CE">
            <w:pPr>
              <w:ind w:left="-15"/>
              <w:rPr>
                <w:rFonts w:cs="Arial"/>
                <w:sz w:val="16"/>
                <w:szCs w:val="16"/>
              </w:rPr>
            </w:pPr>
            <w:r>
              <w:rPr>
                <w:rFonts w:cs="Arial"/>
                <w:sz w:val="16"/>
                <w:szCs w:val="16"/>
              </w:rPr>
              <w:t>Up to £5</w:t>
            </w:r>
            <w:r w:rsidR="00F72C3B" w:rsidRPr="001025FE">
              <w:rPr>
                <w:rFonts w:cs="Arial"/>
                <w:sz w:val="16"/>
                <w:szCs w:val="16"/>
              </w:rPr>
              <w:t>00,000 per capital project</w:t>
            </w:r>
          </w:p>
        </w:tc>
      </w:tr>
      <w:tr w:rsidR="00F72C3B" w:rsidRPr="001025FE" w14:paraId="388123A5" w14:textId="77777777" w:rsidTr="000D59CE">
        <w:trPr>
          <w:trHeight w:val="20"/>
        </w:trPr>
        <w:tc>
          <w:tcPr>
            <w:tcW w:w="877" w:type="pct"/>
            <w:vMerge/>
          </w:tcPr>
          <w:p w14:paraId="1E97B78A" w14:textId="77777777" w:rsidR="00F72C3B" w:rsidRPr="001025FE" w:rsidRDefault="00F72C3B" w:rsidP="000D59CE">
            <w:pPr>
              <w:ind w:right="-105"/>
              <w:rPr>
                <w:rFonts w:cs="Arial"/>
                <w:b/>
                <w:bCs/>
                <w:sz w:val="16"/>
                <w:szCs w:val="16"/>
              </w:rPr>
            </w:pPr>
          </w:p>
        </w:tc>
        <w:tc>
          <w:tcPr>
            <w:tcW w:w="1066" w:type="pct"/>
            <w:vMerge/>
            <w:noWrap/>
          </w:tcPr>
          <w:p w14:paraId="3D68FD34" w14:textId="77777777" w:rsidR="00F72C3B" w:rsidRPr="001025FE" w:rsidRDefault="00F72C3B" w:rsidP="000D59CE">
            <w:pPr>
              <w:ind w:left="91" w:right="-39"/>
              <w:rPr>
                <w:rFonts w:cs="Arial"/>
                <w:b/>
                <w:bCs/>
                <w:sz w:val="16"/>
                <w:szCs w:val="16"/>
              </w:rPr>
            </w:pPr>
          </w:p>
        </w:tc>
        <w:tc>
          <w:tcPr>
            <w:tcW w:w="1066" w:type="pct"/>
            <w:vMerge/>
            <w:vAlign w:val="center"/>
          </w:tcPr>
          <w:p w14:paraId="7FC68615" w14:textId="77777777" w:rsidR="00F72C3B" w:rsidRPr="001025FE" w:rsidRDefault="00F72C3B" w:rsidP="000D59CE">
            <w:pPr>
              <w:ind w:left="6" w:right="6"/>
              <w:rPr>
                <w:rFonts w:cs="Arial"/>
                <w:sz w:val="16"/>
                <w:szCs w:val="16"/>
              </w:rPr>
            </w:pPr>
          </w:p>
        </w:tc>
        <w:tc>
          <w:tcPr>
            <w:tcW w:w="1066" w:type="pct"/>
            <w:noWrap/>
            <w:vAlign w:val="center"/>
          </w:tcPr>
          <w:p w14:paraId="7E12DDCB" w14:textId="77777777" w:rsidR="00F72C3B" w:rsidRPr="001025FE" w:rsidRDefault="00F72C3B" w:rsidP="00651809">
            <w:pPr>
              <w:ind w:right="-92"/>
              <w:rPr>
                <w:rFonts w:cs="Arial"/>
                <w:sz w:val="16"/>
                <w:szCs w:val="16"/>
              </w:rPr>
            </w:pPr>
            <w:r w:rsidRPr="001025FE">
              <w:rPr>
                <w:rFonts w:cs="Arial"/>
                <w:sz w:val="16"/>
                <w:szCs w:val="16"/>
              </w:rPr>
              <w:t>Board of Governors</w:t>
            </w:r>
          </w:p>
        </w:tc>
        <w:tc>
          <w:tcPr>
            <w:tcW w:w="925" w:type="pct"/>
            <w:vAlign w:val="center"/>
          </w:tcPr>
          <w:p w14:paraId="34D3B2DA" w14:textId="1ABD7CE4" w:rsidR="00F72C3B" w:rsidRPr="001025FE" w:rsidRDefault="00297A21" w:rsidP="000D59CE">
            <w:pPr>
              <w:ind w:left="-15"/>
              <w:rPr>
                <w:rFonts w:cs="Arial"/>
                <w:sz w:val="16"/>
                <w:szCs w:val="16"/>
              </w:rPr>
            </w:pPr>
            <w:r>
              <w:rPr>
                <w:rFonts w:cs="Arial"/>
                <w:sz w:val="16"/>
                <w:szCs w:val="16"/>
              </w:rPr>
              <w:t>Over £5</w:t>
            </w:r>
            <w:r w:rsidR="00F72C3B" w:rsidRPr="001025FE">
              <w:rPr>
                <w:rFonts w:cs="Arial"/>
                <w:sz w:val="16"/>
                <w:szCs w:val="16"/>
              </w:rPr>
              <w:t>00,000 per capital project</w:t>
            </w:r>
          </w:p>
        </w:tc>
      </w:tr>
      <w:tr w:rsidR="00F72C3B" w:rsidRPr="001025FE" w14:paraId="70F17FD0" w14:textId="77777777" w:rsidTr="000D59CE">
        <w:trPr>
          <w:trHeight w:val="20"/>
        </w:trPr>
        <w:tc>
          <w:tcPr>
            <w:tcW w:w="877" w:type="pct"/>
            <w:vMerge/>
          </w:tcPr>
          <w:p w14:paraId="4D415199" w14:textId="77777777" w:rsidR="00F72C3B" w:rsidRPr="001025FE" w:rsidRDefault="00F72C3B" w:rsidP="000D59CE">
            <w:pPr>
              <w:ind w:right="-105"/>
              <w:rPr>
                <w:rFonts w:cs="Arial"/>
                <w:b/>
                <w:bCs/>
                <w:sz w:val="16"/>
                <w:szCs w:val="16"/>
              </w:rPr>
            </w:pPr>
          </w:p>
        </w:tc>
        <w:tc>
          <w:tcPr>
            <w:tcW w:w="1066" w:type="pct"/>
            <w:vMerge w:val="restart"/>
            <w:noWrap/>
          </w:tcPr>
          <w:p w14:paraId="5DE4408F" w14:textId="77777777" w:rsidR="00F72C3B" w:rsidRPr="001025FE" w:rsidRDefault="00F72C3B" w:rsidP="00651809">
            <w:pPr>
              <w:ind w:left="91" w:right="-39"/>
              <w:rPr>
                <w:rFonts w:cs="Arial"/>
                <w:b/>
                <w:bCs/>
                <w:sz w:val="16"/>
                <w:szCs w:val="16"/>
              </w:rPr>
            </w:pPr>
            <w:proofErr w:type="spellStart"/>
            <w:r w:rsidRPr="001025FE">
              <w:rPr>
                <w:rFonts w:cs="Arial"/>
                <w:b/>
                <w:bCs/>
                <w:sz w:val="16"/>
                <w:szCs w:val="16"/>
              </w:rPr>
              <w:t>Virements</w:t>
            </w:r>
            <w:proofErr w:type="spellEnd"/>
            <w:r w:rsidRPr="001025FE">
              <w:rPr>
                <w:rFonts w:cs="Arial"/>
                <w:b/>
                <w:bCs/>
                <w:sz w:val="16"/>
                <w:szCs w:val="16"/>
              </w:rPr>
              <w:t xml:space="preserve"> between revenue and capital budgets on ICT projects</w:t>
            </w:r>
          </w:p>
          <w:p w14:paraId="188D8FF5" w14:textId="77777777" w:rsidR="00F72C3B" w:rsidRPr="001025FE" w:rsidRDefault="00F72C3B" w:rsidP="00651809">
            <w:pPr>
              <w:ind w:left="91" w:right="-39"/>
              <w:rPr>
                <w:rFonts w:cs="Arial"/>
                <w:b/>
                <w:bCs/>
                <w:sz w:val="16"/>
                <w:szCs w:val="16"/>
              </w:rPr>
            </w:pPr>
            <w:r w:rsidRPr="001025FE">
              <w:rPr>
                <w:rFonts w:cs="Arial"/>
                <w:b/>
                <w:bCs/>
                <w:sz w:val="16"/>
                <w:szCs w:val="16"/>
              </w:rPr>
              <w:t> </w:t>
            </w:r>
          </w:p>
        </w:tc>
        <w:tc>
          <w:tcPr>
            <w:tcW w:w="1066" w:type="pct"/>
            <w:vMerge w:val="restart"/>
            <w:vAlign w:val="center"/>
          </w:tcPr>
          <w:p w14:paraId="09D873F6" w14:textId="77777777" w:rsidR="00F72C3B" w:rsidRPr="001025FE" w:rsidRDefault="00F72C3B" w:rsidP="00651809">
            <w:pPr>
              <w:ind w:left="6" w:right="6"/>
              <w:rPr>
                <w:rFonts w:cs="Arial"/>
                <w:sz w:val="16"/>
                <w:szCs w:val="16"/>
              </w:rPr>
            </w:pPr>
            <w:r w:rsidRPr="001025FE">
              <w:rPr>
                <w:rFonts w:cs="Arial"/>
                <w:sz w:val="16"/>
                <w:szCs w:val="16"/>
              </w:rPr>
              <w:t xml:space="preserve">To approve the </w:t>
            </w:r>
            <w:proofErr w:type="spellStart"/>
            <w:r w:rsidRPr="001025FE">
              <w:rPr>
                <w:rFonts w:cs="Arial"/>
                <w:sz w:val="16"/>
                <w:szCs w:val="16"/>
              </w:rPr>
              <w:t>virement</w:t>
            </w:r>
            <w:proofErr w:type="spellEnd"/>
            <w:r w:rsidRPr="001025FE">
              <w:rPr>
                <w:rFonts w:cs="Arial"/>
                <w:sz w:val="16"/>
                <w:szCs w:val="16"/>
              </w:rPr>
              <w:t xml:space="preserve"> of funds from revenue to capital or vice versa</w:t>
            </w:r>
          </w:p>
          <w:p w14:paraId="4FE5628F" w14:textId="77777777" w:rsidR="00F72C3B" w:rsidRPr="001025FE" w:rsidRDefault="00F72C3B" w:rsidP="00651809">
            <w:pPr>
              <w:ind w:left="6" w:right="6"/>
              <w:rPr>
                <w:rFonts w:cs="Arial"/>
                <w:sz w:val="16"/>
                <w:szCs w:val="16"/>
              </w:rPr>
            </w:pPr>
          </w:p>
        </w:tc>
        <w:tc>
          <w:tcPr>
            <w:tcW w:w="1066" w:type="pct"/>
            <w:vAlign w:val="center"/>
          </w:tcPr>
          <w:p w14:paraId="2E02D8A6" w14:textId="77777777" w:rsidR="00F72C3B" w:rsidRPr="001025FE" w:rsidRDefault="00F72C3B" w:rsidP="000D59CE">
            <w:pPr>
              <w:ind w:right="-92"/>
              <w:rPr>
                <w:rFonts w:cs="Arial"/>
                <w:sz w:val="16"/>
                <w:szCs w:val="16"/>
              </w:rPr>
            </w:pPr>
            <w:r w:rsidRPr="001025FE">
              <w:rPr>
                <w:rFonts w:cs="Arial"/>
                <w:sz w:val="16"/>
                <w:szCs w:val="16"/>
              </w:rPr>
              <w:t>Both the Vice Chancellor and the Chief Finance Officer</w:t>
            </w:r>
          </w:p>
        </w:tc>
        <w:tc>
          <w:tcPr>
            <w:tcW w:w="925" w:type="pct"/>
            <w:vAlign w:val="center"/>
          </w:tcPr>
          <w:p w14:paraId="3E3E23D5" w14:textId="31091A37" w:rsidR="00F72C3B" w:rsidRPr="001025FE" w:rsidRDefault="00297A21" w:rsidP="000D59CE">
            <w:pPr>
              <w:ind w:left="-15"/>
              <w:rPr>
                <w:rFonts w:cs="Arial"/>
                <w:sz w:val="16"/>
                <w:szCs w:val="16"/>
              </w:rPr>
            </w:pPr>
            <w:r>
              <w:rPr>
                <w:rFonts w:cs="Arial"/>
                <w:sz w:val="16"/>
                <w:szCs w:val="16"/>
              </w:rPr>
              <w:t>Up to £5</w:t>
            </w:r>
            <w:r w:rsidR="00F72C3B" w:rsidRPr="001025FE">
              <w:rPr>
                <w:rFonts w:cs="Arial"/>
                <w:sz w:val="16"/>
                <w:szCs w:val="16"/>
              </w:rPr>
              <w:t>00,000 per financial year</w:t>
            </w:r>
          </w:p>
        </w:tc>
      </w:tr>
      <w:tr w:rsidR="00F72C3B" w:rsidRPr="001025FE" w14:paraId="35DFB025" w14:textId="77777777" w:rsidTr="000D59CE">
        <w:trPr>
          <w:trHeight w:val="20"/>
        </w:trPr>
        <w:tc>
          <w:tcPr>
            <w:tcW w:w="877" w:type="pct"/>
            <w:vMerge/>
          </w:tcPr>
          <w:p w14:paraId="7BC13BCE" w14:textId="77777777" w:rsidR="00F72C3B" w:rsidRPr="001025FE" w:rsidRDefault="00F72C3B" w:rsidP="000D59CE">
            <w:pPr>
              <w:ind w:right="-105"/>
              <w:rPr>
                <w:rFonts w:cs="Arial"/>
                <w:b/>
                <w:bCs/>
                <w:sz w:val="16"/>
                <w:szCs w:val="16"/>
              </w:rPr>
            </w:pPr>
          </w:p>
        </w:tc>
        <w:tc>
          <w:tcPr>
            <w:tcW w:w="1066" w:type="pct"/>
            <w:vMerge/>
            <w:noWrap/>
          </w:tcPr>
          <w:p w14:paraId="3F2047BF" w14:textId="77777777" w:rsidR="00F72C3B" w:rsidRPr="001025FE" w:rsidRDefault="00F72C3B" w:rsidP="000D59CE">
            <w:pPr>
              <w:ind w:left="91" w:right="-39"/>
              <w:rPr>
                <w:rFonts w:cs="Arial"/>
                <w:b/>
                <w:bCs/>
                <w:sz w:val="16"/>
                <w:szCs w:val="16"/>
              </w:rPr>
            </w:pPr>
          </w:p>
        </w:tc>
        <w:tc>
          <w:tcPr>
            <w:tcW w:w="1066" w:type="pct"/>
            <w:vMerge/>
            <w:vAlign w:val="center"/>
          </w:tcPr>
          <w:p w14:paraId="546D323E" w14:textId="77777777" w:rsidR="00F72C3B" w:rsidRPr="001025FE" w:rsidRDefault="00F72C3B" w:rsidP="000D59CE">
            <w:pPr>
              <w:ind w:left="6" w:right="6"/>
              <w:rPr>
                <w:rFonts w:cs="Arial"/>
                <w:sz w:val="16"/>
                <w:szCs w:val="16"/>
              </w:rPr>
            </w:pPr>
          </w:p>
        </w:tc>
        <w:tc>
          <w:tcPr>
            <w:tcW w:w="1066" w:type="pct"/>
            <w:noWrap/>
            <w:vAlign w:val="center"/>
          </w:tcPr>
          <w:p w14:paraId="7C2D55C7" w14:textId="7928A180" w:rsidR="00F72C3B" w:rsidRPr="001025FE" w:rsidRDefault="003F7586" w:rsidP="00651809">
            <w:pPr>
              <w:ind w:right="-92"/>
              <w:rPr>
                <w:rFonts w:cs="Arial"/>
                <w:sz w:val="16"/>
                <w:szCs w:val="16"/>
              </w:rPr>
            </w:pPr>
            <w:r>
              <w:rPr>
                <w:rFonts w:cs="Arial"/>
                <w:sz w:val="16"/>
                <w:szCs w:val="16"/>
              </w:rPr>
              <w:t>Senior Leadership Team</w:t>
            </w:r>
          </w:p>
        </w:tc>
        <w:tc>
          <w:tcPr>
            <w:tcW w:w="925" w:type="pct"/>
            <w:vAlign w:val="center"/>
          </w:tcPr>
          <w:p w14:paraId="7240AAA7" w14:textId="15C0470A" w:rsidR="00F72C3B" w:rsidRPr="001025FE" w:rsidRDefault="00F72C3B" w:rsidP="000D59CE">
            <w:pPr>
              <w:ind w:left="-15"/>
              <w:rPr>
                <w:rFonts w:cs="Arial"/>
                <w:sz w:val="16"/>
                <w:szCs w:val="16"/>
              </w:rPr>
            </w:pPr>
            <w:r w:rsidRPr="001025FE">
              <w:rPr>
                <w:rFonts w:cs="Arial"/>
                <w:sz w:val="16"/>
                <w:szCs w:val="16"/>
              </w:rPr>
              <w:t>Over</w:t>
            </w:r>
            <w:r w:rsidR="00297A21">
              <w:rPr>
                <w:rFonts w:cs="Arial"/>
                <w:sz w:val="16"/>
                <w:szCs w:val="16"/>
              </w:rPr>
              <w:t xml:space="preserve"> £5</w:t>
            </w:r>
            <w:r w:rsidRPr="001025FE">
              <w:rPr>
                <w:rFonts w:cs="Arial"/>
                <w:sz w:val="16"/>
                <w:szCs w:val="16"/>
              </w:rPr>
              <w:t>00,000</w:t>
            </w:r>
          </w:p>
        </w:tc>
      </w:tr>
    </w:tbl>
    <w:p w14:paraId="61754F6F" w14:textId="77777777" w:rsidR="00F72C3B" w:rsidRPr="001025FE" w:rsidRDefault="00F72C3B" w:rsidP="00F15642">
      <w:pPr>
        <w:spacing w:after="0"/>
        <w:jc w:val="both"/>
      </w:pPr>
      <w:bookmarkStart w:id="82" w:name="revenue"/>
      <w:bookmarkStart w:id="83" w:name="subsids"/>
      <w:bookmarkEnd w:id="82"/>
      <w:bookmarkEnd w:id="83"/>
    </w:p>
    <w:p w14:paraId="6C7546EA" w14:textId="77777777" w:rsidR="00F72C3B" w:rsidRPr="001025FE" w:rsidRDefault="00F72C3B" w:rsidP="00F15642">
      <w:pPr>
        <w:jc w:val="both"/>
        <w:rPr>
          <w:rFonts w:cs="Arial"/>
          <w:color w:val="000000"/>
          <w:sz w:val="16"/>
          <w:szCs w:val="16"/>
        </w:rPr>
      </w:pPr>
      <w:r w:rsidRPr="001025FE">
        <w:rPr>
          <w:rFonts w:cs="Arial"/>
          <w:color w:val="000000"/>
          <w:sz w:val="16"/>
          <w:szCs w:val="16"/>
        </w:rPr>
        <w:t>* SMT Leads are responsible for creating an appropriate scheme of delegation within their areas based on operational need, local structures and risk. This must be discussed and agreed with the Finance Department and approved by the Chief Financial Officer.</w:t>
      </w:r>
    </w:p>
    <w:p w14:paraId="6A2E66EE" w14:textId="26C89560" w:rsidR="00F72C3B" w:rsidRPr="001025FE" w:rsidRDefault="00F72C3B" w:rsidP="00F15642">
      <w:pPr>
        <w:jc w:val="both"/>
        <w:rPr>
          <w:rFonts w:cs="Arial"/>
          <w:color w:val="000000"/>
          <w:sz w:val="16"/>
          <w:szCs w:val="16"/>
        </w:rPr>
      </w:pPr>
      <w:r w:rsidRPr="001025FE">
        <w:rPr>
          <w:rFonts w:cs="Arial"/>
          <w:color w:val="000000"/>
          <w:sz w:val="16"/>
          <w:szCs w:val="16"/>
        </w:rPr>
        <w:t xml:space="preserve">** The approval of the </w:t>
      </w:r>
      <w:r w:rsidR="00C019DC">
        <w:rPr>
          <w:rFonts w:cs="Arial"/>
          <w:color w:val="000000"/>
          <w:sz w:val="16"/>
          <w:szCs w:val="16"/>
        </w:rPr>
        <w:t xml:space="preserve">purchase </w:t>
      </w:r>
      <w:r w:rsidR="003F7586">
        <w:rPr>
          <w:rFonts w:cs="Arial"/>
          <w:color w:val="000000"/>
          <w:sz w:val="16"/>
          <w:szCs w:val="16"/>
        </w:rPr>
        <w:t>requisition</w:t>
      </w:r>
      <w:r w:rsidRPr="001025FE">
        <w:rPr>
          <w:rFonts w:cs="Arial"/>
          <w:color w:val="000000"/>
          <w:sz w:val="16"/>
          <w:szCs w:val="16"/>
        </w:rPr>
        <w:t xml:space="preserve"> by the Procurement Team confirms that the appropriate procurement processes have been followed in respect of the purchase. It does not approve the business need for the purchase.</w:t>
      </w:r>
    </w:p>
    <w:p w14:paraId="112FB645" w14:textId="77777777" w:rsidR="00F72C3B" w:rsidRPr="001025FE" w:rsidRDefault="00F72C3B" w:rsidP="002A58B2">
      <w:pPr>
        <w:rPr>
          <w:rFonts w:cs="Arial"/>
          <w:color w:val="000000"/>
          <w:sz w:val="16"/>
          <w:szCs w:val="16"/>
        </w:rPr>
      </w:pPr>
    </w:p>
    <w:p w14:paraId="6E702791" w14:textId="77777777" w:rsidR="00F72C3B" w:rsidRPr="001025FE" w:rsidRDefault="00F72C3B" w:rsidP="002A58B2">
      <w:pPr>
        <w:sectPr w:rsidR="00F72C3B" w:rsidRPr="001025FE" w:rsidSect="00EA631B">
          <w:headerReference w:type="default" r:id="rId9"/>
          <w:footerReference w:type="default" r:id="rId10"/>
          <w:footnotePr>
            <w:numRestart w:val="eachSect"/>
          </w:footnotePr>
          <w:endnotePr>
            <w:numFmt w:val="decimal"/>
          </w:endnotePr>
          <w:pgSz w:w="16840" w:h="11900" w:orient="landscape"/>
          <w:pgMar w:top="567" w:right="1134" w:bottom="985" w:left="1440" w:header="720" w:footer="720" w:gutter="0"/>
          <w:pgNumType w:start="1"/>
          <w:cols w:space="0"/>
          <w:docGrid w:linePitch="299"/>
        </w:sectPr>
      </w:pPr>
    </w:p>
    <w:p w14:paraId="5FAACFD9" w14:textId="77777777" w:rsidR="00F72C3B" w:rsidRPr="001025FE" w:rsidRDefault="00F72C3B" w:rsidP="002A7307">
      <w:pPr>
        <w:autoSpaceDE w:val="0"/>
        <w:autoSpaceDN w:val="0"/>
        <w:adjustRightInd w:val="0"/>
        <w:spacing w:after="0"/>
        <w:jc w:val="center"/>
        <w:rPr>
          <w:rFonts w:cs="Arial"/>
          <w:b/>
          <w:bCs/>
          <w:sz w:val="28"/>
          <w:szCs w:val="28"/>
          <w:lang w:eastAsia="en-GB"/>
        </w:rPr>
      </w:pPr>
      <w:r w:rsidRPr="001025FE">
        <w:rPr>
          <w:rFonts w:cs="Arial"/>
          <w:b/>
          <w:bCs/>
          <w:sz w:val="28"/>
          <w:szCs w:val="28"/>
          <w:lang w:eastAsia="en-GB"/>
        </w:rPr>
        <w:t>Waiver of Financial Regulations Form</w:t>
      </w:r>
    </w:p>
    <w:p w14:paraId="36F4A082" w14:textId="77777777" w:rsidR="00F72C3B" w:rsidRPr="001025FE" w:rsidRDefault="00F72C3B" w:rsidP="002A7307">
      <w:pPr>
        <w:autoSpaceDE w:val="0"/>
        <w:autoSpaceDN w:val="0"/>
        <w:adjustRightInd w:val="0"/>
        <w:spacing w:after="0"/>
        <w:jc w:val="center"/>
        <w:rPr>
          <w:rFonts w:cs="Arial"/>
          <w:b/>
          <w:bCs/>
          <w:sz w:val="28"/>
          <w:szCs w:val="28"/>
          <w:lang w:eastAsia="en-GB"/>
        </w:rPr>
      </w:pPr>
    </w:p>
    <w:p w14:paraId="61BE6B8C" w14:textId="77777777" w:rsidR="00F72C3B" w:rsidRPr="001025FE" w:rsidRDefault="00F72C3B" w:rsidP="002A7307">
      <w:pPr>
        <w:autoSpaceDE w:val="0"/>
        <w:autoSpaceDN w:val="0"/>
        <w:adjustRightInd w:val="0"/>
        <w:spacing w:after="0"/>
        <w:jc w:val="center"/>
        <w:rPr>
          <w:rFonts w:cs="Arial"/>
          <w:b/>
          <w:bCs/>
          <w:sz w:val="28"/>
          <w:szCs w:val="28"/>
          <w:lang w:eastAsia="en-GB"/>
        </w:rPr>
      </w:pPr>
    </w:p>
    <w:p w14:paraId="6130CF45" w14:textId="77777777" w:rsidR="00F72C3B" w:rsidRPr="001025FE" w:rsidRDefault="00F72C3B" w:rsidP="002A7307">
      <w:pPr>
        <w:autoSpaceDE w:val="0"/>
        <w:autoSpaceDN w:val="0"/>
        <w:adjustRightInd w:val="0"/>
        <w:spacing w:after="0"/>
        <w:rPr>
          <w:rFonts w:cs="Arial"/>
          <w:b/>
          <w:bCs/>
          <w:szCs w:val="22"/>
          <w:lang w:eastAsia="en-GB"/>
        </w:rPr>
      </w:pPr>
      <w:r w:rsidRPr="001025FE">
        <w:rPr>
          <w:rFonts w:cs="Arial"/>
          <w:b/>
          <w:bCs/>
          <w:szCs w:val="22"/>
          <w:lang w:eastAsia="en-GB"/>
        </w:rPr>
        <w:t xml:space="preserve">To: </w:t>
      </w:r>
      <w:r w:rsidRPr="001025FE">
        <w:rPr>
          <w:rFonts w:cs="Arial"/>
          <w:szCs w:val="22"/>
          <w:lang w:eastAsia="en-GB"/>
        </w:rPr>
        <w:t>Chief Finance Officer</w:t>
      </w:r>
      <w:r w:rsidRPr="001025FE">
        <w:rPr>
          <w:rFonts w:cs="Arial"/>
          <w:szCs w:val="22"/>
          <w:lang w:eastAsia="en-GB"/>
        </w:rPr>
        <w:tab/>
      </w:r>
      <w:r w:rsidRPr="001025FE">
        <w:rPr>
          <w:rFonts w:cs="Arial"/>
          <w:szCs w:val="22"/>
          <w:lang w:eastAsia="en-GB"/>
        </w:rPr>
        <w:tab/>
      </w:r>
      <w:r w:rsidRPr="001025FE">
        <w:rPr>
          <w:rFonts w:cs="Arial"/>
          <w:szCs w:val="22"/>
          <w:lang w:eastAsia="en-GB"/>
        </w:rPr>
        <w:tab/>
      </w:r>
      <w:r w:rsidRPr="001025FE">
        <w:rPr>
          <w:rFonts w:cs="Arial"/>
          <w:szCs w:val="22"/>
          <w:lang w:eastAsia="en-GB"/>
        </w:rPr>
        <w:tab/>
        <w:t xml:space="preserve"> </w:t>
      </w:r>
      <w:r w:rsidRPr="001025FE">
        <w:rPr>
          <w:rFonts w:cs="Arial"/>
          <w:b/>
          <w:bCs/>
          <w:szCs w:val="22"/>
          <w:lang w:eastAsia="en-GB"/>
        </w:rPr>
        <w:t xml:space="preserve">From: </w:t>
      </w:r>
      <w:r w:rsidRPr="001025FE">
        <w:rPr>
          <w:rFonts w:cs="Arial"/>
          <w:bCs/>
          <w:szCs w:val="22"/>
          <w:lang w:eastAsia="en-GB"/>
        </w:rPr>
        <w:t>…………………………………………</w:t>
      </w:r>
    </w:p>
    <w:p w14:paraId="288C7C1C" w14:textId="77777777" w:rsidR="00F72C3B" w:rsidRPr="001025FE" w:rsidRDefault="00F72C3B" w:rsidP="002A7307">
      <w:pPr>
        <w:autoSpaceDE w:val="0"/>
        <w:autoSpaceDN w:val="0"/>
        <w:adjustRightInd w:val="0"/>
        <w:spacing w:after="0"/>
        <w:rPr>
          <w:rFonts w:cs="Arial"/>
          <w:b/>
          <w:bCs/>
          <w:sz w:val="24"/>
          <w:lang w:eastAsia="en-GB"/>
        </w:rPr>
      </w:pPr>
    </w:p>
    <w:p w14:paraId="3082032F" w14:textId="77777777" w:rsidR="00F72C3B" w:rsidRPr="001025FE" w:rsidRDefault="00F72C3B" w:rsidP="002A7307">
      <w:pPr>
        <w:autoSpaceDE w:val="0"/>
        <w:autoSpaceDN w:val="0"/>
        <w:adjustRightInd w:val="0"/>
        <w:spacing w:after="0"/>
        <w:rPr>
          <w:rFonts w:cs="Arial"/>
          <w:b/>
          <w:bCs/>
          <w:sz w:val="24"/>
          <w:lang w:eastAsia="en-GB"/>
        </w:rPr>
      </w:pPr>
      <w:r w:rsidRPr="001025FE">
        <w:rPr>
          <w:rFonts w:cs="Arial"/>
          <w:b/>
          <w:bCs/>
          <w:sz w:val="24"/>
          <w:lang w:eastAsia="en-GB"/>
        </w:rPr>
        <w:t>Financial Regulations</w:t>
      </w:r>
    </w:p>
    <w:p w14:paraId="06C0E0B8" w14:textId="77777777" w:rsidR="00F72C3B" w:rsidRPr="001025FE" w:rsidRDefault="00F72C3B" w:rsidP="002A7307">
      <w:pPr>
        <w:autoSpaceDE w:val="0"/>
        <w:autoSpaceDN w:val="0"/>
        <w:adjustRightInd w:val="0"/>
        <w:spacing w:after="0"/>
        <w:rPr>
          <w:rFonts w:cs="Arial"/>
          <w:szCs w:val="22"/>
          <w:lang w:eastAsia="en-GB"/>
        </w:rPr>
      </w:pPr>
    </w:p>
    <w:p w14:paraId="3079A0A0" w14:textId="77777777" w:rsidR="00F72C3B" w:rsidRPr="001025FE" w:rsidRDefault="00F72C3B" w:rsidP="002A7307">
      <w:pPr>
        <w:autoSpaceDE w:val="0"/>
        <w:autoSpaceDN w:val="0"/>
        <w:adjustRightInd w:val="0"/>
        <w:spacing w:after="0"/>
        <w:rPr>
          <w:rFonts w:cs="Arial"/>
          <w:szCs w:val="22"/>
          <w:lang w:eastAsia="en-GB"/>
        </w:rPr>
      </w:pPr>
      <w:r w:rsidRPr="001025FE">
        <w:rPr>
          <w:rFonts w:cs="Arial"/>
          <w:szCs w:val="22"/>
          <w:lang w:eastAsia="en-GB"/>
        </w:rPr>
        <w:t xml:space="preserve">I request your authority to waive section(s) ………………….. </w:t>
      </w:r>
      <w:proofErr w:type="gramStart"/>
      <w:r w:rsidRPr="001025FE">
        <w:rPr>
          <w:rFonts w:cs="Arial"/>
          <w:szCs w:val="22"/>
          <w:lang w:eastAsia="en-GB"/>
        </w:rPr>
        <w:t>of</w:t>
      </w:r>
      <w:proofErr w:type="gramEnd"/>
      <w:r w:rsidRPr="001025FE">
        <w:rPr>
          <w:rFonts w:cs="Arial"/>
          <w:szCs w:val="22"/>
          <w:lang w:eastAsia="en-GB"/>
        </w:rPr>
        <w:t xml:space="preserve"> the University Financial Regulations for the following reason(s)</w:t>
      </w:r>
    </w:p>
    <w:p w14:paraId="4513F34A" w14:textId="77777777" w:rsidR="00F72C3B" w:rsidRPr="001025FE" w:rsidRDefault="00F72C3B" w:rsidP="002A7307">
      <w:pPr>
        <w:autoSpaceDE w:val="0"/>
        <w:autoSpaceDN w:val="0"/>
        <w:adjustRightInd w:val="0"/>
        <w:spacing w:after="0"/>
        <w:rPr>
          <w:rFonts w:cs="Arial"/>
          <w:szCs w:val="22"/>
          <w:lang w:eastAsia="en-GB"/>
        </w:rPr>
      </w:pPr>
    </w:p>
    <w:p w14:paraId="29693D91" w14:textId="77777777" w:rsidR="00F72C3B" w:rsidRPr="001025FE" w:rsidRDefault="00F72C3B" w:rsidP="002A7307">
      <w:pPr>
        <w:autoSpaceDE w:val="0"/>
        <w:autoSpaceDN w:val="0"/>
        <w:adjustRightInd w:val="0"/>
        <w:spacing w:before="120" w:after="240"/>
        <w:rPr>
          <w:rFonts w:cs="Arial"/>
          <w:szCs w:val="22"/>
          <w:lang w:eastAsia="en-GB"/>
        </w:rPr>
      </w:pPr>
      <w:r w:rsidRPr="001025FE">
        <w:rPr>
          <w:rFonts w:cs="Arial"/>
          <w:szCs w:val="22"/>
          <w:lang w:eastAsia="en-GB"/>
        </w:rPr>
        <w:t>…………………………………………………………………………………………………………………………..</w:t>
      </w:r>
    </w:p>
    <w:p w14:paraId="456BBBCB" w14:textId="77777777" w:rsidR="00F72C3B" w:rsidRPr="001025FE" w:rsidRDefault="00F72C3B" w:rsidP="002A7307">
      <w:pPr>
        <w:autoSpaceDE w:val="0"/>
        <w:autoSpaceDN w:val="0"/>
        <w:adjustRightInd w:val="0"/>
        <w:spacing w:before="120" w:after="240"/>
        <w:rPr>
          <w:rFonts w:cs="Arial"/>
          <w:szCs w:val="22"/>
          <w:lang w:eastAsia="en-GB"/>
        </w:rPr>
      </w:pPr>
      <w:r w:rsidRPr="001025FE">
        <w:rPr>
          <w:rFonts w:cs="Arial"/>
          <w:szCs w:val="22"/>
          <w:lang w:eastAsia="en-GB"/>
        </w:rPr>
        <w:t>…………………………………………………………………………………………………………………………..</w:t>
      </w:r>
    </w:p>
    <w:p w14:paraId="51102599" w14:textId="77777777" w:rsidR="00F72C3B" w:rsidRPr="001025FE" w:rsidRDefault="00F72C3B" w:rsidP="002A7307">
      <w:pPr>
        <w:autoSpaceDE w:val="0"/>
        <w:autoSpaceDN w:val="0"/>
        <w:adjustRightInd w:val="0"/>
        <w:spacing w:before="120" w:after="240"/>
        <w:rPr>
          <w:rFonts w:cs="Arial"/>
          <w:szCs w:val="22"/>
          <w:lang w:eastAsia="en-GB"/>
        </w:rPr>
      </w:pPr>
      <w:r w:rsidRPr="001025FE">
        <w:rPr>
          <w:rFonts w:cs="Arial"/>
          <w:szCs w:val="22"/>
          <w:lang w:eastAsia="en-GB"/>
        </w:rPr>
        <w:t>…………………………………………………………………………………………………………………………..</w:t>
      </w:r>
    </w:p>
    <w:p w14:paraId="737F4A07" w14:textId="77777777" w:rsidR="00F72C3B" w:rsidRPr="001025FE" w:rsidRDefault="00F72C3B" w:rsidP="002A7307">
      <w:pPr>
        <w:autoSpaceDE w:val="0"/>
        <w:autoSpaceDN w:val="0"/>
        <w:adjustRightInd w:val="0"/>
        <w:spacing w:before="120" w:after="240"/>
        <w:rPr>
          <w:rFonts w:cs="Arial"/>
          <w:szCs w:val="22"/>
          <w:lang w:eastAsia="en-GB"/>
        </w:rPr>
      </w:pPr>
      <w:r w:rsidRPr="001025FE">
        <w:rPr>
          <w:rFonts w:cs="Arial"/>
          <w:szCs w:val="22"/>
          <w:lang w:eastAsia="en-GB"/>
        </w:rPr>
        <w:t>…………………………………………………………………………………………………………………………..</w:t>
      </w:r>
    </w:p>
    <w:p w14:paraId="7547DA83" w14:textId="77777777" w:rsidR="00F72C3B" w:rsidRPr="001025FE" w:rsidRDefault="00F72C3B" w:rsidP="002A7307">
      <w:pPr>
        <w:autoSpaceDE w:val="0"/>
        <w:autoSpaceDN w:val="0"/>
        <w:adjustRightInd w:val="0"/>
        <w:spacing w:before="120" w:after="240"/>
        <w:rPr>
          <w:rFonts w:cs="Arial"/>
          <w:szCs w:val="22"/>
          <w:lang w:eastAsia="en-GB"/>
        </w:rPr>
      </w:pPr>
      <w:r w:rsidRPr="001025FE">
        <w:rPr>
          <w:rFonts w:cs="Arial"/>
          <w:szCs w:val="22"/>
          <w:lang w:eastAsia="en-GB"/>
        </w:rPr>
        <w:t>…………………………………………………………………………………………………………………………..</w:t>
      </w:r>
    </w:p>
    <w:p w14:paraId="6096CA0D" w14:textId="77777777" w:rsidR="00F72C3B" w:rsidRPr="001025FE" w:rsidRDefault="00F72C3B" w:rsidP="002A7307">
      <w:pPr>
        <w:autoSpaceDE w:val="0"/>
        <w:autoSpaceDN w:val="0"/>
        <w:adjustRightInd w:val="0"/>
        <w:spacing w:before="120" w:after="240"/>
        <w:rPr>
          <w:rFonts w:cs="Arial"/>
          <w:szCs w:val="22"/>
          <w:lang w:eastAsia="en-GB"/>
        </w:rPr>
      </w:pPr>
      <w:r w:rsidRPr="001025FE">
        <w:rPr>
          <w:rFonts w:cs="Arial"/>
          <w:szCs w:val="22"/>
          <w:lang w:eastAsia="en-GB"/>
        </w:rPr>
        <w:t>…………………………………………………………………………………………………………………………..</w:t>
      </w:r>
    </w:p>
    <w:p w14:paraId="13D2354F" w14:textId="77777777" w:rsidR="00F72C3B" w:rsidRPr="001025FE" w:rsidRDefault="00F72C3B" w:rsidP="002A7307">
      <w:pPr>
        <w:autoSpaceDE w:val="0"/>
        <w:autoSpaceDN w:val="0"/>
        <w:adjustRightInd w:val="0"/>
        <w:spacing w:before="120" w:after="240"/>
        <w:rPr>
          <w:rFonts w:cs="Arial"/>
          <w:i/>
          <w:szCs w:val="22"/>
          <w:lang w:eastAsia="en-GB"/>
        </w:rPr>
      </w:pPr>
      <w:r w:rsidRPr="001025FE">
        <w:rPr>
          <w:rFonts w:cs="Arial"/>
          <w:i/>
          <w:szCs w:val="22"/>
          <w:lang w:eastAsia="en-GB"/>
        </w:rPr>
        <w:t>(</w:t>
      </w:r>
      <w:proofErr w:type="gramStart"/>
      <w:r w:rsidRPr="001025FE">
        <w:rPr>
          <w:rFonts w:cs="Arial"/>
          <w:i/>
          <w:szCs w:val="22"/>
          <w:lang w:eastAsia="en-GB"/>
        </w:rPr>
        <w:t>please</w:t>
      </w:r>
      <w:proofErr w:type="gramEnd"/>
      <w:r w:rsidRPr="001025FE">
        <w:rPr>
          <w:rFonts w:cs="Arial"/>
          <w:i/>
          <w:szCs w:val="22"/>
          <w:lang w:eastAsia="en-GB"/>
        </w:rPr>
        <w:t xml:space="preserve"> attach further information and documentation, if required)</w:t>
      </w:r>
    </w:p>
    <w:p w14:paraId="0253D059" w14:textId="77777777" w:rsidR="00F72C3B" w:rsidRPr="001025FE" w:rsidRDefault="00F72C3B" w:rsidP="002A7307">
      <w:pPr>
        <w:autoSpaceDE w:val="0"/>
        <w:autoSpaceDN w:val="0"/>
        <w:adjustRightInd w:val="0"/>
        <w:spacing w:after="0"/>
        <w:rPr>
          <w:rFonts w:cs="Arial"/>
          <w:szCs w:val="22"/>
          <w:lang w:eastAsia="en-GB"/>
        </w:rPr>
      </w:pPr>
    </w:p>
    <w:p w14:paraId="646CA618" w14:textId="77777777" w:rsidR="00F72C3B" w:rsidRPr="001025FE" w:rsidRDefault="00F72C3B" w:rsidP="002A7307">
      <w:pPr>
        <w:autoSpaceDE w:val="0"/>
        <w:autoSpaceDN w:val="0"/>
        <w:adjustRightInd w:val="0"/>
        <w:spacing w:before="120"/>
        <w:rPr>
          <w:rFonts w:cs="Arial"/>
          <w:szCs w:val="22"/>
          <w:lang w:eastAsia="en-GB"/>
        </w:rPr>
      </w:pPr>
      <w:r w:rsidRPr="001025FE">
        <w:rPr>
          <w:rFonts w:cs="Arial"/>
          <w:szCs w:val="22"/>
          <w:lang w:eastAsia="en-GB"/>
        </w:rPr>
        <w:t>…………………………..……………...Signed</w:t>
      </w:r>
      <w:r w:rsidRPr="001025FE">
        <w:rPr>
          <w:rFonts w:cs="Arial"/>
          <w:szCs w:val="22"/>
          <w:lang w:eastAsia="en-GB"/>
        </w:rPr>
        <w:tab/>
      </w:r>
      <w:r w:rsidRPr="001025FE">
        <w:rPr>
          <w:rFonts w:cs="Arial"/>
          <w:szCs w:val="22"/>
          <w:lang w:eastAsia="en-GB"/>
        </w:rPr>
        <w:tab/>
        <w:t>…………………..……………………….Date</w:t>
      </w:r>
    </w:p>
    <w:p w14:paraId="372CD6AA" w14:textId="77777777" w:rsidR="00F72C3B" w:rsidRPr="001025FE" w:rsidRDefault="00F72C3B" w:rsidP="002A7307">
      <w:pPr>
        <w:autoSpaceDE w:val="0"/>
        <w:autoSpaceDN w:val="0"/>
        <w:adjustRightInd w:val="0"/>
        <w:spacing w:before="120"/>
        <w:rPr>
          <w:rFonts w:cs="Arial"/>
          <w:szCs w:val="22"/>
          <w:lang w:eastAsia="en-GB"/>
        </w:rPr>
      </w:pPr>
    </w:p>
    <w:p w14:paraId="4E341079" w14:textId="77777777" w:rsidR="00F72C3B" w:rsidRPr="001025FE" w:rsidRDefault="00F72C3B" w:rsidP="002A7307">
      <w:pPr>
        <w:autoSpaceDE w:val="0"/>
        <w:autoSpaceDN w:val="0"/>
        <w:adjustRightInd w:val="0"/>
        <w:spacing w:before="120"/>
        <w:rPr>
          <w:rFonts w:cs="Arial"/>
          <w:szCs w:val="22"/>
          <w:lang w:eastAsia="en-GB"/>
        </w:rPr>
      </w:pPr>
      <w:proofErr w:type="gramStart"/>
      <w:r w:rsidRPr="001025FE">
        <w:rPr>
          <w:rFonts w:cs="Arial"/>
          <w:szCs w:val="22"/>
          <w:lang w:eastAsia="en-GB"/>
        </w:rPr>
        <w:t>………………………..……………..….</w:t>
      </w:r>
      <w:proofErr w:type="gramEnd"/>
      <w:r w:rsidRPr="001025FE">
        <w:rPr>
          <w:rFonts w:cs="Arial"/>
          <w:szCs w:val="22"/>
          <w:lang w:eastAsia="en-GB"/>
        </w:rPr>
        <w:t>Name</w:t>
      </w:r>
      <w:r w:rsidRPr="001025FE">
        <w:rPr>
          <w:rFonts w:cs="Arial"/>
          <w:szCs w:val="22"/>
          <w:lang w:eastAsia="en-GB"/>
        </w:rPr>
        <w:tab/>
      </w:r>
      <w:r w:rsidRPr="001025FE">
        <w:rPr>
          <w:rFonts w:cs="Arial"/>
          <w:szCs w:val="22"/>
          <w:lang w:eastAsia="en-GB"/>
        </w:rPr>
        <w:tab/>
        <w:t>…………………………………………….Position</w:t>
      </w:r>
    </w:p>
    <w:p w14:paraId="3E68CE32" w14:textId="77777777" w:rsidR="00F72C3B" w:rsidRPr="001025FE" w:rsidRDefault="00F72C3B" w:rsidP="002A7307">
      <w:pPr>
        <w:autoSpaceDE w:val="0"/>
        <w:autoSpaceDN w:val="0"/>
        <w:adjustRightInd w:val="0"/>
        <w:spacing w:after="0"/>
        <w:rPr>
          <w:rFonts w:cs="Arial"/>
          <w:szCs w:val="22"/>
          <w:lang w:eastAsia="en-GB"/>
        </w:rPr>
      </w:pPr>
    </w:p>
    <w:p w14:paraId="55BB1EA4" w14:textId="77777777" w:rsidR="00F72C3B" w:rsidRPr="001025FE" w:rsidRDefault="00F72C3B" w:rsidP="002A7307">
      <w:pPr>
        <w:autoSpaceDE w:val="0"/>
        <w:autoSpaceDN w:val="0"/>
        <w:adjustRightInd w:val="0"/>
        <w:spacing w:after="0"/>
        <w:rPr>
          <w:rFonts w:cs="Arial"/>
          <w:szCs w:val="22"/>
          <w:lang w:eastAsia="en-GB"/>
        </w:rPr>
      </w:pPr>
    </w:p>
    <w:p w14:paraId="0693688D" w14:textId="77777777" w:rsidR="00F72C3B" w:rsidRPr="001025FE" w:rsidRDefault="00F72C3B" w:rsidP="002A7307">
      <w:pPr>
        <w:autoSpaceDE w:val="0"/>
        <w:autoSpaceDN w:val="0"/>
        <w:adjustRightInd w:val="0"/>
        <w:spacing w:before="120"/>
        <w:rPr>
          <w:rFonts w:cs="Arial"/>
          <w:b/>
          <w:szCs w:val="22"/>
          <w:lang w:eastAsia="en-GB"/>
        </w:rPr>
      </w:pPr>
      <w:r w:rsidRPr="001025FE">
        <w:rPr>
          <w:rFonts w:cs="Arial"/>
          <w:b/>
          <w:szCs w:val="22"/>
          <w:lang w:eastAsia="en-GB"/>
        </w:rPr>
        <w:t>Documentation reviewed and agreed:</w:t>
      </w:r>
    </w:p>
    <w:p w14:paraId="601E9D12" w14:textId="77777777" w:rsidR="00F72C3B" w:rsidRPr="001025FE" w:rsidRDefault="00F72C3B" w:rsidP="002A7307">
      <w:pPr>
        <w:autoSpaceDE w:val="0"/>
        <w:autoSpaceDN w:val="0"/>
        <w:adjustRightInd w:val="0"/>
        <w:spacing w:before="120"/>
        <w:rPr>
          <w:rFonts w:cs="Arial"/>
          <w:szCs w:val="22"/>
          <w:lang w:eastAsia="en-GB"/>
        </w:rPr>
      </w:pPr>
    </w:p>
    <w:p w14:paraId="117CB00E" w14:textId="77777777" w:rsidR="00F72C3B" w:rsidRPr="001025FE" w:rsidRDefault="00F72C3B" w:rsidP="002A7307">
      <w:pPr>
        <w:autoSpaceDE w:val="0"/>
        <w:autoSpaceDN w:val="0"/>
        <w:adjustRightInd w:val="0"/>
        <w:spacing w:before="120"/>
        <w:rPr>
          <w:rFonts w:cs="Arial"/>
          <w:szCs w:val="22"/>
          <w:lang w:eastAsia="en-GB"/>
        </w:rPr>
      </w:pPr>
      <w:r w:rsidRPr="001025FE">
        <w:rPr>
          <w:rFonts w:cs="Arial"/>
          <w:szCs w:val="22"/>
          <w:lang w:eastAsia="en-GB"/>
        </w:rPr>
        <w:t>……………………………………………………………….Deputy Chief Finance Officer</w:t>
      </w:r>
    </w:p>
    <w:p w14:paraId="777ACDDE" w14:textId="77777777" w:rsidR="00F72C3B" w:rsidRPr="001025FE" w:rsidRDefault="00F72C3B" w:rsidP="002A7307">
      <w:pPr>
        <w:spacing w:before="120"/>
        <w:rPr>
          <w:rFonts w:cs="Arial"/>
          <w:szCs w:val="22"/>
          <w:lang w:eastAsia="en-GB"/>
        </w:rPr>
      </w:pPr>
    </w:p>
    <w:p w14:paraId="3D38B41C" w14:textId="77777777" w:rsidR="00F72C3B" w:rsidRPr="001025FE" w:rsidRDefault="00F72C3B" w:rsidP="002A7307">
      <w:pPr>
        <w:spacing w:before="120"/>
        <w:rPr>
          <w:rFonts w:cs="Arial"/>
          <w:sz w:val="24"/>
        </w:rPr>
      </w:pPr>
      <w:r w:rsidRPr="001025FE">
        <w:rPr>
          <w:rFonts w:cs="Arial"/>
          <w:szCs w:val="22"/>
          <w:lang w:eastAsia="en-GB"/>
        </w:rPr>
        <w:t>……………………………………………………………….Date</w:t>
      </w:r>
    </w:p>
    <w:p w14:paraId="436276C1" w14:textId="77777777" w:rsidR="00F72C3B" w:rsidRPr="001025FE" w:rsidRDefault="00F72C3B" w:rsidP="002A7307">
      <w:pPr>
        <w:autoSpaceDE w:val="0"/>
        <w:autoSpaceDN w:val="0"/>
        <w:adjustRightInd w:val="0"/>
        <w:spacing w:after="0"/>
        <w:rPr>
          <w:rFonts w:cs="Arial"/>
          <w:szCs w:val="22"/>
          <w:lang w:eastAsia="en-GB"/>
        </w:rPr>
      </w:pPr>
    </w:p>
    <w:p w14:paraId="3372A920" w14:textId="77777777" w:rsidR="00F72C3B" w:rsidRPr="001025FE" w:rsidRDefault="00F72C3B" w:rsidP="002A7307">
      <w:pPr>
        <w:autoSpaceDE w:val="0"/>
        <w:autoSpaceDN w:val="0"/>
        <w:adjustRightInd w:val="0"/>
        <w:spacing w:before="120"/>
        <w:rPr>
          <w:rFonts w:cs="Arial"/>
          <w:b/>
          <w:szCs w:val="22"/>
          <w:lang w:eastAsia="en-GB"/>
        </w:rPr>
      </w:pPr>
      <w:r w:rsidRPr="001025FE">
        <w:rPr>
          <w:rFonts w:cs="Arial"/>
          <w:b/>
          <w:szCs w:val="22"/>
          <w:lang w:eastAsia="en-GB"/>
        </w:rPr>
        <w:t>Waiver of Financial Regulations agreed:</w:t>
      </w:r>
    </w:p>
    <w:p w14:paraId="50CEF063" w14:textId="77777777" w:rsidR="00F72C3B" w:rsidRPr="001025FE" w:rsidRDefault="00F72C3B" w:rsidP="002A7307">
      <w:pPr>
        <w:autoSpaceDE w:val="0"/>
        <w:autoSpaceDN w:val="0"/>
        <w:adjustRightInd w:val="0"/>
        <w:spacing w:before="120"/>
        <w:rPr>
          <w:rFonts w:cs="Arial"/>
          <w:szCs w:val="22"/>
          <w:lang w:eastAsia="en-GB"/>
        </w:rPr>
      </w:pPr>
    </w:p>
    <w:p w14:paraId="2DE8F5E9" w14:textId="77777777" w:rsidR="00F72C3B" w:rsidRPr="001025FE" w:rsidRDefault="00F72C3B" w:rsidP="002A7307">
      <w:pPr>
        <w:autoSpaceDE w:val="0"/>
        <w:autoSpaceDN w:val="0"/>
        <w:adjustRightInd w:val="0"/>
        <w:spacing w:before="120"/>
        <w:rPr>
          <w:rFonts w:cs="Arial"/>
          <w:szCs w:val="22"/>
          <w:lang w:eastAsia="en-GB"/>
        </w:rPr>
      </w:pPr>
      <w:r w:rsidRPr="001025FE">
        <w:rPr>
          <w:rFonts w:cs="Arial"/>
          <w:szCs w:val="22"/>
          <w:lang w:eastAsia="en-GB"/>
        </w:rPr>
        <w:t>……………………………………………………………….Chief Finance Officer</w:t>
      </w:r>
    </w:p>
    <w:p w14:paraId="5D2EAD5B" w14:textId="77777777" w:rsidR="00F72C3B" w:rsidRPr="001025FE" w:rsidRDefault="00F72C3B" w:rsidP="002A7307">
      <w:pPr>
        <w:spacing w:before="120"/>
        <w:rPr>
          <w:rFonts w:cs="Arial"/>
          <w:szCs w:val="22"/>
          <w:lang w:eastAsia="en-GB"/>
        </w:rPr>
      </w:pPr>
    </w:p>
    <w:p w14:paraId="62BD615C" w14:textId="77777777" w:rsidR="00F72C3B" w:rsidRPr="001025FE" w:rsidRDefault="00F72C3B" w:rsidP="00875C8D">
      <w:pPr>
        <w:spacing w:before="120"/>
        <w:rPr>
          <w:rFonts w:cs="Arial"/>
          <w:szCs w:val="22"/>
          <w:lang w:eastAsia="en-GB"/>
        </w:rPr>
        <w:sectPr w:rsidR="00F72C3B" w:rsidRPr="001025FE" w:rsidSect="00EA631B">
          <w:headerReference w:type="default" r:id="rId11"/>
          <w:footnotePr>
            <w:numRestart w:val="eachSect"/>
          </w:footnotePr>
          <w:endnotePr>
            <w:numFmt w:val="decimal"/>
          </w:endnotePr>
          <w:pgSz w:w="11900" w:h="16840"/>
          <w:pgMar w:top="1134" w:right="985" w:bottom="1440" w:left="567" w:header="720" w:footer="720" w:gutter="0"/>
          <w:pgNumType w:start="1"/>
          <w:cols w:space="0"/>
          <w:docGrid w:linePitch="299"/>
        </w:sectPr>
      </w:pPr>
      <w:r w:rsidRPr="001025FE">
        <w:rPr>
          <w:rFonts w:cs="Arial"/>
          <w:szCs w:val="22"/>
          <w:lang w:eastAsia="en-GB"/>
        </w:rPr>
        <w:t>……………………………………………………………….Date</w:t>
      </w:r>
    </w:p>
    <w:p w14:paraId="164CF671" w14:textId="77777777" w:rsidR="00F72C3B" w:rsidRPr="001025FE" w:rsidRDefault="00F72C3B" w:rsidP="00666AAA">
      <w:pPr>
        <w:spacing w:before="120"/>
        <w:jc w:val="center"/>
        <w:rPr>
          <w:b/>
          <w:sz w:val="24"/>
        </w:rPr>
      </w:pPr>
      <w:r w:rsidRPr="001025FE">
        <w:rPr>
          <w:b/>
          <w:sz w:val="24"/>
        </w:rPr>
        <w:t>SCHEDULE OF SUPPORTING POLICIES</w:t>
      </w:r>
    </w:p>
    <w:p w14:paraId="3C29881E" w14:textId="4D858FDF" w:rsidR="00F72C3B" w:rsidRPr="001025FE" w:rsidRDefault="00F72C3B" w:rsidP="003A0CB6">
      <w:pPr>
        <w:pStyle w:val="BodyText3"/>
        <w:widowControl/>
        <w:rPr>
          <w:rFonts w:ascii="Arial" w:hAnsi="Arial" w:cs="Arial"/>
          <w:bCs/>
          <w:iCs/>
        </w:rPr>
      </w:pPr>
      <w:r w:rsidRPr="001025FE">
        <w:rPr>
          <w:rFonts w:ascii="Arial" w:hAnsi="Arial" w:cs="Arial"/>
          <w:bCs/>
          <w:iCs/>
        </w:rPr>
        <w:t xml:space="preserve">The </w:t>
      </w:r>
      <w:r w:rsidR="00931241" w:rsidRPr="001025FE">
        <w:rPr>
          <w:rFonts w:ascii="Arial" w:hAnsi="Arial" w:cs="Arial"/>
          <w:bCs/>
          <w:iCs/>
        </w:rPr>
        <w:t>table</w:t>
      </w:r>
      <w:r w:rsidR="00FE5CDF" w:rsidRPr="001025FE">
        <w:rPr>
          <w:rFonts w:ascii="Arial" w:hAnsi="Arial" w:cs="Arial"/>
          <w:bCs/>
          <w:iCs/>
        </w:rPr>
        <w:t xml:space="preserve"> below sets out the</w:t>
      </w:r>
      <w:r w:rsidRPr="001025FE">
        <w:rPr>
          <w:rFonts w:ascii="Arial" w:hAnsi="Arial" w:cs="Arial"/>
          <w:bCs/>
          <w:iCs/>
        </w:rPr>
        <w:t xml:space="preserve"> </w:t>
      </w:r>
      <w:r w:rsidR="00FE5CDF" w:rsidRPr="001025FE">
        <w:rPr>
          <w:rFonts w:ascii="Arial" w:hAnsi="Arial" w:cs="Arial"/>
          <w:bCs/>
          <w:iCs/>
        </w:rPr>
        <w:t xml:space="preserve">Finance owned </w:t>
      </w:r>
      <w:r w:rsidRPr="001025FE">
        <w:rPr>
          <w:rFonts w:ascii="Arial" w:hAnsi="Arial" w:cs="Arial"/>
          <w:bCs/>
          <w:iCs/>
        </w:rPr>
        <w:t xml:space="preserve">policy </w:t>
      </w:r>
      <w:r w:rsidR="00FE5CDF" w:rsidRPr="001025FE">
        <w:rPr>
          <w:rFonts w:ascii="Arial" w:hAnsi="Arial" w:cs="Arial"/>
          <w:bCs/>
          <w:iCs/>
        </w:rPr>
        <w:t>documents</w:t>
      </w:r>
      <w:r w:rsidR="001C7685" w:rsidRPr="001025FE">
        <w:rPr>
          <w:rFonts w:ascii="Arial" w:hAnsi="Arial" w:cs="Arial"/>
          <w:bCs/>
          <w:iCs/>
        </w:rPr>
        <w:t xml:space="preserve"> that</w:t>
      </w:r>
      <w:r w:rsidRPr="001025FE">
        <w:rPr>
          <w:rFonts w:ascii="Arial" w:hAnsi="Arial" w:cs="Arial"/>
          <w:bCs/>
          <w:iCs/>
        </w:rPr>
        <w:t xml:space="preserve"> are referred to and support the Financial Regulations. All policies will be updated </w:t>
      </w:r>
      <w:r w:rsidR="00C85B09" w:rsidRPr="001025FE">
        <w:rPr>
          <w:rFonts w:ascii="Arial" w:hAnsi="Arial" w:cs="Arial"/>
          <w:bCs/>
          <w:iCs/>
        </w:rPr>
        <w:t>as set out in the table,</w:t>
      </w:r>
      <w:r w:rsidRPr="001025FE">
        <w:rPr>
          <w:rFonts w:ascii="Arial" w:hAnsi="Arial" w:cs="Arial"/>
          <w:bCs/>
          <w:iCs/>
        </w:rPr>
        <w:t xml:space="preserve"> or when there is a separate requirement to do so (for example, changes in legislation).</w:t>
      </w:r>
    </w:p>
    <w:p w14:paraId="2057B0EE" w14:textId="77777777" w:rsidR="00F72C3B" w:rsidRPr="001025FE" w:rsidRDefault="00F72C3B" w:rsidP="00666AAA">
      <w:pPr>
        <w:pStyle w:val="BodyText3"/>
        <w:widowControl/>
        <w:rPr>
          <w:rFonts w:ascii="Arial" w:hAnsi="Arial" w:cs="Arial"/>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394"/>
        <w:gridCol w:w="4536"/>
      </w:tblGrid>
      <w:tr w:rsidR="00F72C3B" w:rsidRPr="001025FE" w14:paraId="0E133125" w14:textId="77777777" w:rsidTr="00625A4F">
        <w:tc>
          <w:tcPr>
            <w:tcW w:w="4820" w:type="dxa"/>
            <w:shd w:val="clear" w:color="auto" w:fill="000000"/>
          </w:tcPr>
          <w:p w14:paraId="5F2B5F9E" w14:textId="504CC5A7" w:rsidR="00F72C3B" w:rsidRPr="001025FE" w:rsidRDefault="001C7685" w:rsidP="008517E7">
            <w:pPr>
              <w:pStyle w:val="BodyText3"/>
              <w:widowControl/>
              <w:jc w:val="left"/>
              <w:rPr>
                <w:rFonts w:ascii="Arial" w:hAnsi="Arial" w:cs="Arial"/>
                <w:b/>
                <w:sz w:val="20"/>
              </w:rPr>
            </w:pPr>
            <w:r w:rsidRPr="001025FE">
              <w:rPr>
                <w:rFonts w:ascii="Arial" w:hAnsi="Arial" w:cs="Arial"/>
                <w:b/>
                <w:sz w:val="20"/>
              </w:rPr>
              <w:t xml:space="preserve">FINANCE OWNED </w:t>
            </w:r>
            <w:r w:rsidR="00F72C3B" w:rsidRPr="001025FE">
              <w:rPr>
                <w:rFonts w:ascii="Arial" w:hAnsi="Arial" w:cs="Arial"/>
                <w:b/>
                <w:sz w:val="20"/>
              </w:rPr>
              <w:t>POLIC</w:t>
            </w:r>
            <w:r w:rsidRPr="001025FE">
              <w:rPr>
                <w:rFonts w:ascii="Arial" w:hAnsi="Arial" w:cs="Arial"/>
                <w:b/>
                <w:sz w:val="20"/>
              </w:rPr>
              <w:t>IES</w:t>
            </w:r>
          </w:p>
        </w:tc>
        <w:tc>
          <w:tcPr>
            <w:tcW w:w="4394" w:type="dxa"/>
            <w:shd w:val="clear" w:color="auto" w:fill="000000"/>
          </w:tcPr>
          <w:p w14:paraId="1E002357" w14:textId="77777777" w:rsidR="00F72C3B" w:rsidRPr="001025FE" w:rsidRDefault="00F72C3B" w:rsidP="008517E7">
            <w:pPr>
              <w:pStyle w:val="BodyText3"/>
              <w:widowControl/>
              <w:jc w:val="left"/>
              <w:rPr>
                <w:rFonts w:ascii="Arial" w:hAnsi="Arial" w:cs="Arial"/>
                <w:b/>
                <w:sz w:val="20"/>
              </w:rPr>
            </w:pPr>
            <w:r w:rsidRPr="001025FE">
              <w:rPr>
                <w:rFonts w:ascii="Arial" w:hAnsi="Arial" w:cs="Arial"/>
                <w:b/>
                <w:sz w:val="20"/>
              </w:rPr>
              <w:t>METHOD OF APPROVAL</w:t>
            </w:r>
          </w:p>
        </w:tc>
        <w:tc>
          <w:tcPr>
            <w:tcW w:w="4536" w:type="dxa"/>
            <w:shd w:val="clear" w:color="auto" w:fill="000000"/>
          </w:tcPr>
          <w:p w14:paraId="06588C83" w14:textId="77777777" w:rsidR="00F72C3B" w:rsidRPr="001025FE" w:rsidRDefault="00F72C3B" w:rsidP="008517E7">
            <w:pPr>
              <w:pStyle w:val="BodyText3"/>
              <w:widowControl/>
              <w:jc w:val="left"/>
              <w:rPr>
                <w:rFonts w:ascii="Arial" w:hAnsi="Arial" w:cs="Arial"/>
                <w:b/>
                <w:sz w:val="20"/>
              </w:rPr>
            </w:pPr>
            <w:r w:rsidRPr="001025FE">
              <w:rPr>
                <w:rFonts w:ascii="Arial" w:hAnsi="Arial" w:cs="Arial"/>
                <w:b/>
                <w:sz w:val="20"/>
              </w:rPr>
              <w:t>MINIMUM REVIEW PERIOD</w:t>
            </w:r>
          </w:p>
        </w:tc>
      </w:tr>
      <w:tr w:rsidR="00F72C3B" w:rsidRPr="001025FE" w14:paraId="1FFE0C06" w14:textId="77777777" w:rsidTr="00625A4F">
        <w:tc>
          <w:tcPr>
            <w:tcW w:w="4820" w:type="dxa"/>
          </w:tcPr>
          <w:p w14:paraId="11510AB9" w14:textId="77777777" w:rsidR="00F72C3B" w:rsidRPr="001025FE" w:rsidRDefault="00F72C3B" w:rsidP="008517E7">
            <w:pPr>
              <w:pStyle w:val="BodyText3"/>
              <w:widowControl/>
              <w:rPr>
                <w:rFonts w:ascii="Arial" w:hAnsi="Arial" w:cs="Arial"/>
                <w:sz w:val="20"/>
              </w:rPr>
            </w:pPr>
            <w:r w:rsidRPr="001025FE">
              <w:rPr>
                <w:rFonts w:ascii="Arial" w:hAnsi="Arial" w:cs="Arial"/>
                <w:sz w:val="20"/>
              </w:rPr>
              <w:t>Treasury Management Policy</w:t>
            </w:r>
          </w:p>
        </w:tc>
        <w:tc>
          <w:tcPr>
            <w:tcW w:w="4394" w:type="dxa"/>
          </w:tcPr>
          <w:p w14:paraId="6D150A1C" w14:textId="77777777" w:rsidR="00F72C3B" w:rsidRPr="001025FE" w:rsidRDefault="00F72C3B" w:rsidP="00666AAA">
            <w:pPr>
              <w:pStyle w:val="BodyText3"/>
              <w:widowControl/>
              <w:ind w:left="-26"/>
              <w:rPr>
                <w:rFonts w:ascii="Arial" w:hAnsi="Arial" w:cs="Arial"/>
                <w:sz w:val="20"/>
              </w:rPr>
            </w:pPr>
            <w:r w:rsidRPr="001025FE">
              <w:rPr>
                <w:rFonts w:ascii="Arial" w:hAnsi="Arial" w:cs="Arial"/>
                <w:sz w:val="20"/>
              </w:rPr>
              <w:t>Board of Governors</w:t>
            </w:r>
          </w:p>
        </w:tc>
        <w:tc>
          <w:tcPr>
            <w:tcW w:w="4536" w:type="dxa"/>
          </w:tcPr>
          <w:p w14:paraId="5B31C922" w14:textId="77777777" w:rsidR="00F72C3B" w:rsidRPr="001025FE" w:rsidRDefault="00F72C3B" w:rsidP="008517E7">
            <w:pPr>
              <w:pStyle w:val="BodyText3"/>
              <w:widowControl/>
              <w:jc w:val="left"/>
              <w:rPr>
                <w:rFonts w:ascii="Arial" w:hAnsi="Arial" w:cs="Arial"/>
                <w:sz w:val="20"/>
              </w:rPr>
            </w:pPr>
            <w:r w:rsidRPr="001025FE">
              <w:rPr>
                <w:rFonts w:ascii="Arial" w:hAnsi="Arial" w:cs="Arial"/>
                <w:sz w:val="20"/>
              </w:rPr>
              <w:t xml:space="preserve">Annually </w:t>
            </w:r>
          </w:p>
        </w:tc>
      </w:tr>
      <w:tr w:rsidR="00F72C3B" w:rsidRPr="001025FE" w14:paraId="366C9527" w14:textId="77777777" w:rsidTr="00625A4F">
        <w:tc>
          <w:tcPr>
            <w:tcW w:w="4820" w:type="dxa"/>
          </w:tcPr>
          <w:p w14:paraId="70200084" w14:textId="77777777" w:rsidR="00F72C3B" w:rsidRPr="001025FE" w:rsidRDefault="00F72C3B" w:rsidP="008517E7">
            <w:pPr>
              <w:pStyle w:val="BodyText3"/>
              <w:widowControl/>
              <w:rPr>
                <w:rFonts w:ascii="Arial" w:hAnsi="Arial" w:cs="Arial"/>
                <w:sz w:val="20"/>
              </w:rPr>
            </w:pPr>
            <w:r w:rsidRPr="001025FE">
              <w:rPr>
                <w:rFonts w:ascii="Arial" w:hAnsi="Arial" w:cs="Arial"/>
                <w:sz w:val="20"/>
              </w:rPr>
              <w:t>Procurement Policy</w:t>
            </w:r>
          </w:p>
        </w:tc>
        <w:tc>
          <w:tcPr>
            <w:tcW w:w="4394" w:type="dxa"/>
          </w:tcPr>
          <w:p w14:paraId="16C0CCF4" w14:textId="317EDDA8" w:rsidR="00F72C3B" w:rsidRPr="001025FE" w:rsidRDefault="003F7586" w:rsidP="00666AAA">
            <w:pPr>
              <w:pStyle w:val="BodyText3"/>
              <w:widowControl/>
              <w:ind w:left="-26"/>
              <w:rPr>
                <w:rFonts w:ascii="Arial" w:hAnsi="Arial" w:cs="Arial"/>
                <w:sz w:val="20"/>
              </w:rPr>
            </w:pPr>
            <w:r>
              <w:rPr>
                <w:rFonts w:ascii="Arial" w:hAnsi="Arial" w:cs="Arial"/>
                <w:sz w:val="20"/>
              </w:rPr>
              <w:t>Senior Leadership Team</w:t>
            </w:r>
          </w:p>
        </w:tc>
        <w:tc>
          <w:tcPr>
            <w:tcW w:w="4536" w:type="dxa"/>
          </w:tcPr>
          <w:p w14:paraId="7D836FFF" w14:textId="77777777" w:rsidR="00F72C3B" w:rsidRPr="001025FE" w:rsidRDefault="00F72C3B" w:rsidP="008517E7">
            <w:pPr>
              <w:pStyle w:val="BodyText3"/>
              <w:widowControl/>
              <w:jc w:val="left"/>
              <w:rPr>
                <w:rFonts w:ascii="Arial" w:hAnsi="Arial" w:cs="Arial"/>
                <w:sz w:val="20"/>
              </w:rPr>
            </w:pPr>
            <w:r w:rsidRPr="001025FE">
              <w:rPr>
                <w:rFonts w:ascii="Arial" w:hAnsi="Arial" w:cs="Arial"/>
                <w:sz w:val="20"/>
              </w:rPr>
              <w:t>Annually</w:t>
            </w:r>
          </w:p>
        </w:tc>
      </w:tr>
      <w:tr w:rsidR="00F72C3B" w:rsidRPr="001025FE" w14:paraId="7843C116" w14:textId="77777777" w:rsidTr="00625A4F">
        <w:tc>
          <w:tcPr>
            <w:tcW w:w="4820" w:type="dxa"/>
          </w:tcPr>
          <w:p w14:paraId="7EA2DB65" w14:textId="77777777" w:rsidR="00F72C3B" w:rsidRPr="001025FE" w:rsidRDefault="00F72C3B" w:rsidP="00666AAA">
            <w:pPr>
              <w:pStyle w:val="BodyText3"/>
              <w:widowControl/>
              <w:jc w:val="left"/>
              <w:rPr>
                <w:rFonts w:ascii="Arial" w:hAnsi="Arial" w:cs="Arial"/>
                <w:sz w:val="20"/>
              </w:rPr>
            </w:pPr>
            <w:r w:rsidRPr="001025FE">
              <w:rPr>
                <w:rFonts w:ascii="Arial" w:hAnsi="Arial" w:cs="Arial"/>
                <w:sz w:val="20"/>
              </w:rPr>
              <w:t xml:space="preserve">Anti-Money Laundering Policy </w:t>
            </w:r>
          </w:p>
        </w:tc>
        <w:tc>
          <w:tcPr>
            <w:tcW w:w="4394" w:type="dxa"/>
          </w:tcPr>
          <w:p w14:paraId="48C7B6EA" w14:textId="6B0A4394" w:rsidR="00F72C3B" w:rsidRPr="001025FE" w:rsidRDefault="003F7586" w:rsidP="008517E7">
            <w:pPr>
              <w:pStyle w:val="BodyText3"/>
              <w:widowControl/>
              <w:ind w:left="-26"/>
              <w:rPr>
                <w:rFonts w:ascii="Arial" w:hAnsi="Arial" w:cs="Arial"/>
                <w:sz w:val="20"/>
              </w:rPr>
            </w:pPr>
            <w:r>
              <w:rPr>
                <w:rFonts w:ascii="Arial" w:hAnsi="Arial" w:cs="Arial"/>
                <w:sz w:val="20"/>
              </w:rPr>
              <w:t>Senior Leadership Team</w:t>
            </w:r>
          </w:p>
        </w:tc>
        <w:tc>
          <w:tcPr>
            <w:tcW w:w="4536" w:type="dxa"/>
          </w:tcPr>
          <w:p w14:paraId="30C10759" w14:textId="77777777" w:rsidR="00F72C3B" w:rsidRPr="001025FE" w:rsidRDefault="00F72C3B" w:rsidP="008517E7">
            <w:pPr>
              <w:pStyle w:val="BodyText3"/>
              <w:widowControl/>
              <w:jc w:val="left"/>
              <w:rPr>
                <w:rFonts w:ascii="Arial" w:hAnsi="Arial" w:cs="Arial"/>
                <w:sz w:val="20"/>
              </w:rPr>
            </w:pPr>
            <w:r w:rsidRPr="001025FE">
              <w:rPr>
                <w:rFonts w:ascii="Arial" w:hAnsi="Arial" w:cs="Arial"/>
                <w:sz w:val="20"/>
              </w:rPr>
              <w:t>Every 2 years</w:t>
            </w:r>
          </w:p>
        </w:tc>
      </w:tr>
      <w:tr w:rsidR="00F72C3B" w:rsidRPr="001025FE" w14:paraId="2557B1AA" w14:textId="77777777" w:rsidTr="00625A4F">
        <w:tc>
          <w:tcPr>
            <w:tcW w:w="4820" w:type="dxa"/>
          </w:tcPr>
          <w:p w14:paraId="5A536E70" w14:textId="77777777" w:rsidR="00F72C3B" w:rsidRPr="001025FE" w:rsidRDefault="00F72C3B" w:rsidP="008517E7">
            <w:pPr>
              <w:pStyle w:val="BodyText3"/>
              <w:widowControl/>
              <w:rPr>
                <w:rFonts w:ascii="Arial" w:hAnsi="Arial" w:cs="Arial"/>
                <w:sz w:val="20"/>
              </w:rPr>
            </w:pPr>
            <w:r w:rsidRPr="001025FE">
              <w:rPr>
                <w:rFonts w:ascii="Arial" w:hAnsi="Arial" w:cs="Arial"/>
                <w:sz w:val="20"/>
              </w:rPr>
              <w:t>Accepting Gifts and Hospitality Policy</w:t>
            </w:r>
          </w:p>
        </w:tc>
        <w:tc>
          <w:tcPr>
            <w:tcW w:w="4394" w:type="dxa"/>
          </w:tcPr>
          <w:p w14:paraId="4DC0ABDC" w14:textId="03CF84E6" w:rsidR="00F72C3B" w:rsidRPr="001025FE" w:rsidRDefault="003F7586" w:rsidP="008517E7">
            <w:pPr>
              <w:pStyle w:val="BodyText3"/>
              <w:widowControl/>
              <w:ind w:left="-26"/>
              <w:rPr>
                <w:rFonts w:ascii="Arial" w:hAnsi="Arial" w:cs="Arial"/>
                <w:sz w:val="20"/>
              </w:rPr>
            </w:pPr>
            <w:r>
              <w:rPr>
                <w:rFonts w:ascii="Arial" w:hAnsi="Arial" w:cs="Arial"/>
                <w:sz w:val="20"/>
              </w:rPr>
              <w:t>Senior Leadership Team</w:t>
            </w:r>
          </w:p>
        </w:tc>
        <w:tc>
          <w:tcPr>
            <w:tcW w:w="4536" w:type="dxa"/>
          </w:tcPr>
          <w:p w14:paraId="738DE359" w14:textId="77777777" w:rsidR="00F72C3B" w:rsidRPr="001025FE" w:rsidRDefault="00F72C3B" w:rsidP="00EA631B">
            <w:pPr>
              <w:pStyle w:val="BodyText3"/>
              <w:widowControl/>
              <w:jc w:val="left"/>
              <w:rPr>
                <w:rFonts w:ascii="Arial" w:hAnsi="Arial" w:cs="Arial"/>
                <w:sz w:val="20"/>
              </w:rPr>
            </w:pPr>
            <w:r w:rsidRPr="001025FE">
              <w:rPr>
                <w:rFonts w:ascii="Arial" w:hAnsi="Arial" w:cs="Arial"/>
                <w:sz w:val="20"/>
              </w:rPr>
              <w:t>Every 2 years</w:t>
            </w:r>
          </w:p>
        </w:tc>
      </w:tr>
      <w:tr w:rsidR="00F72C3B" w:rsidRPr="001025FE" w14:paraId="1FE8957C" w14:textId="77777777" w:rsidTr="00625A4F">
        <w:tc>
          <w:tcPr>
            <w:tcW w:w="4820" w:type="dxa"/>
          </w:tcPr>
          <w:p w14:paraId="304782A0" w14:textId="77777777" w:rsidR="00F72C3B" w:rsidRPr="001025FE" w:rsidRDefault="00F72C3B" w:rsidP="008517E7">
            <w:pPr>
              <w:pStyle w:val="BodyText3"/>
              <w:widowControl/>
              <w:rPr>
                <w:rFonts w:ascii="Arial" w:hAnsi="Arial" w:cs="Arial"/>
                <w:sz w:val="20"/>
              </w:rPr>
            </w:pPr>
            <w:r w:rsidRPr="001025FE">
              <w:rPr>
                <w:rFonts w:ascii="Arial" w:hAnsi="Arial" w:cs="Arial"/>
                <w:sz w:val="20"/>
              </w:rPr>
              <w:t>Refund Policy</w:t>
            </w:r>
          </w:p>
        </w:tc>
        <w:tc>
          <w:tcPr>
            <w:tcW w:w="4394" w:type="dxa"/>
          </w:tcPr>
          <w:p w14:paraId="426B12FC" w14:textId="77777777" w:rsidR="00F72C3B" w:rsidRPr="001025FE" w:rsidRDefault="00F72C3B" w:rsidP="0028705C">
            <w:pPr>
              <w:pStyle w:val="BodyText3"/>
              <w:widowControl/>
              <w:ind w:left="-26"/>
              <w:rPr>
                <w:rFonts w:ascii="Arial" w:hAnsi="Arial" w:cs="Arial"/>
                <w:sz w:val="20"/>
              </w:rPr>
            </w:pPr>
            <w:r w:rsidRPr="001025FE">
              <w:rPr>
                <w:rFonts w:ascii="Arial" w:hAnsi="Arial" w:cs="Arial"/>
                <w:sz w:val="20"/>
              </w:rPr>
              <w:t>Chief Finance Officer</w:t>
            </w:r>
          </w:p>
        </w:tc>
        <w:tc>
          <w:tcPr>
            <w:tcW w:w="4536" w:type="dxa"/>
          </w:tcPr>
          <w:p w14:paraId="20C425BD" w14:textId="77777777" w:rsidR="00F72C3B" w:rsidRPr="001025FE" w:rsidRDefault="00F72C3B" w:rsidP="00D76AE7">
            <w:pPr>
              <w:pStyle w:val="BodyText3"/>
              <w:widowControl/>
              <w:jc w:val="left"/>
              <w:rPr>
                <w:rFonts w:ascii="Arial" w:hAnsi="Arial" w:cs="Arial"/>
                <w:sz w:val="20"/>
              </w:rPr>
            </w:pPr>
            <w:r w:rsidRPr="001025FE">
              <w:rPr>
                <w:rFonts w:ascii="Arial" w:hAnsi="Arial" w:cs="Arial"/>
                <w:sz w:val="20"/>
              </w:rPr>
              <w:t>Every 2 years</w:t>
            </w:r>
          </w:p>
        </w:tc>
      </w:tr>
      <w:tr w:rsidR="00F72C3B" w:rsidRPr="001025FE" w14:paraId="6F615FB6" w14:textId="77777777" w:rsidTr="00625A4F">
        <w:tc>
          <w:tcPr>
            <w:tcW w:w="4820" w:type="dxa"/>
          </w:tcPr>
          <w:p w14:paraId="38BB7703" w14:textId="77777777" w:rsidR="00F72C3B" w:rsidRPr="001025FE" w:rsidRDefault="00F72C3B" w:rsidP="008517E7">
            <w:pPr>
              <w:pStyle w:val="BodyText3"/>
              <w:widowControl/>
              <w:rPr>
                <w:rFonts w:ascii="Arial" w:hAnsi="Arial" w:cs="Arial"/>
                <w:sz w:val="20"/>
              </w:rPr>
            </w:pPr>
            <w:r w:rsidRPr="001025FE">
              <w:rPr>
                <w:rFonts w:ascii="Arial" w:hAnsi="Arial" w:cs="Arial"/>
                <w:sz w:val="20"/>
              </w:rPr>
              <w:t>Finance Document Retention Policy</w:t>
            </w:r>
          </w:p>
        </w:tc>
        <w:tc>
          <w:tcPr>
            <w:tcW w:w="4394" w:type="dxa"/>
          </w:tcPr>
          <w:p w14:paraId="0AD17414" w14:textId="77777777" w:rsidR="00F72C3B" w:rsidRPr="001025FE" w:rsidRDefault="00F72C3B" w:rsidP="00D76AE7">
            <w:pPr>
              <w:pStyle w:val="BodyText3"/>
              <w:widowControl/>
              <w:ind w:left="-26"/>
              <w:rPr>
                <w:rFonts w:ascii="Arial" w:hAnsi="Arial" w:cs="Arial"/>
                <w:sz w:val="20"/>
              </w:rPr>
            </w:pPr>
            <w:r w:rsidRPr="001025FE">
              <w:rPr>
                <w:rFonts w:ascii="Arial" w:hAnsi="Arial" w:cs="Arial"/>
                <w:sz w:val="20"/>
              </w:rPr>
              <w:t>Chief Finance Officer</w:t>
            </w:r>
          </w:p>
        </w:tc>
        <w:tc>
          <w:tcPr>
            <w:tcW w:w="4536" w:type="dxa"/>
          </w:tcPr>
          <w:p w14:paraId="205EC968" w14:textId="77777777" w:rsidR="00F72C3B" w:rsidRPr="001025FE" w:rsidRDefault="00F72C3B" w:rsidP="0079795B">
            <w:pPr>
              <w:pStyle w:val="BodyText3"/>
              <w:widowControl/>
              <w:jc w:val="left"/>
              <w:rPr>
                <w:rFonts w:ascii="Arial" w:hAnsi="Arial" w:cs="Arial"/>
                <w:sz w:val="20"/>
              </w:rPr>
            </w:pPr>
            <w:r w:rsidRPr="001025FE">
              <w:rPr>
                <w:rFonts w:ascii="Arial" w:hAnsi="Arial" w:cs="Arial"/>
                <w:sz w:val="20"/>
              </w:rPr>
              <w:t>Every 2 years</w:t>
            </w:r>
          </w:p>
        </w:tc>
      </w:tr>
    </w:tbl>
    <w:p w14:paraId="05A1CD85" w14:textId="77777777" w:rsidR="00F72C3B" w:rsidRPr="001025FE" w:rsidRDefault="00F72C3B" w:rsidP="00666AAA">
      <w:pPr>
        <w:spacing w:before="120"/>
        <w:jc w:val="center"/>
        <w:rPr>
          <w:b/>
          <w:sz w:val="24"/>
        </w:rPr>
      </w:pPr>
    </w:p>
    <w:p w14:paraId="33E2E858" w14:textId="65794B53" w:rsidR="003A0CB6" w:rsidRPr="001025FE" w:rsidRDefault="003A0CB6" w:rsidP="003A0CB6">
      <w:pPr>
        <w:pStyle w:val="BodyText3"/>
        <w:widowControl/>
        <w:rPr>
          <w:rFonts w:ascii="Arial" w:hAnsi="Arial" w:cs="Arial"/>
          <w:bCs/>
          <w:iCs/>
        </w:rPr>
      </w:pPr>
      <w:r w:rsidRPr="001025FE">
        <w:rPr>
          <w:rFonts w:ascii="Arial" w:hAnsi="Arial" w:cs="Arial"/>
          <w:bCs/>
          <w:iCs/>
        </w:rPr>
        <w:t xml:space="preserve">The table below sets out the other non-Finance owned policy </w:t>
      </w:r>
      <w:r w:rsidR="001C7685" w:rsidRPr="001025FE">
        <w:rPr>
          <w:rFonts w:ascii="Arial" w:hAnsi="Arial" w:cs="Arial"/>
          <w:bCs/>
          <w:iCs/>
        </w:rPr>
        <w:t>documents that</w:t>
      </w:r>
      <w:r w:rsidRPr="001025FE">
        <w:rPr>
          <w:rFonts w:ascii="Arial" w:hAnsi="Arial" w:cs="Arial"/>
          <w:bCs/>
          <w:iCs/>
        </w:rPr>
        <w:t xml:space="preserve"> are referred to in the Financial Regulations. These documents will be reviewed by Finance on a yearly basis to ensure they are still relevant and appropriate to the Financial Regulations. </w:t>
      </w:r>
    </w:p>
    <w:p w14:paraId="73162E35" w14:textId="77777777" w:rsidR="003A0CB6" w:rsidRPr="001025FE" w:rsidRDefault="003A0CB6" w:rsidP="003A0CB6">
      <w:pPr>
        <w:pStyle w:val="BodyText3"/>
        <w:widowControl/>
        <w:rPr>
          <w:rFonts w:ascii="Arial" w:hAnsi="Arial" w:cs="Arial"/>
          <w:bCs/>
          <w:iCs/>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4536"/>
      </w:tblGrid>
      <w:tr w:rsidR="003A0CB6" w:rsidRPr="001025FE" w14:paraId="60BB3964" w14:textId="77777777" w:rsidTr="003A0CB6">
        <w:tc>
          <w:tcPr>
            <w:tcW w:w="9214" w:type="dxa"/>
            <w:shd w:val="clear" w:color="auto" w:fill="000000"/>
          </w:tcPr>
          <w:p w14:paraId="62559FB0" w14:textId="1CD5ABCD" w:rsidR="003A0CB6" w:rsidRPr="001025FE" w:rsidRDefault="001C7685" w:rsidP="002E38CC">
            <w:pPr>
              <w:pStyle w:val="BodyText3"/>
              <w:widowControl/>
              <w:jc w:val="left"/>
              <w:rPr>
                <w:rFonts w:ascii="Arial" w:hAnsi="Arial" w:cs="Arial"/>
                <w:b/>
                <w:sz w:val="20"/>
              </w:rPr>
            </w:pPr>
            <w:r w:rsidRPr="001025FE">
              <w:rPr>
                <w:rFonts w:ascii="Arial" w:hAnsi="Arial" w:cs="Arial"/>
                <w:b/>
                <w:sz w:val="20"/>
              </w:rPr>
              <w:t xml:space="preserve">NON-FINANCE OWNED </w:t>
            </w:r>
            <w:r w:rsidR="003A0CB6" w:rsidRPr="001025FE">
              <w:rPr>
                <w:rFonts w:ascii="Arial" w:hAnsi="Arial" w:cs="Arial"/>
                <w:b/>
                <w:sz w:val="20"/>
              </w:rPr>
              <w:t>POLIC</w:t>
            </w:r>
            <w:r w:rsidRPr="001025FE">
              <w:rPr>
                <w:rFonts w:ascii="Arial" w:hAnsi="Arial" w:cs="Arial"/>
                <w:b/>
                <w:sz w:val="20"/>
              </w:rPr>
              <w:t>IES</w:t>
            </w:r>
          </w:p>
        </w:tc>
        <w:tc>
          <w:tcPr>
            <w:tcW w:w="4536" w:type="dxa"/>
            <w:shd w:val="clear" w:color="auto" w:fill="000000"/>
          </w:tcPr>
          <w:p w14:paraId="09DC083F" w14:textId="2BADC63D" w:rsidR="003A0CB6" w:rsidRPr="001025FE" w:rsidRDefault="003A0CB6" w:rsidP="002E38CC">
            <w:pPr>
              <w:pStyle w:val="BodyText3"/>
              <w:widowControl/>
              <w:jc w:val="left"/>
              <w:rPr>
                <w:rFonts w:ascii="Arial" w:hAnsi="Arial" w:cs="Arial"/>
                <w:b/>
                <w:sz w:val="20"/>
              </w:rPr>
            </w:pPr>
            <w:r w:rsidRPr="001025FE">
              <w:rPr>
                <w:rFonts w:ascii="Arial" w:hAnsi="Arial" w:cs="Arial"/>
                <w:b/>
                <w:sz w:val="20"/>
              </w:rPr>
              <w:t>OWNER</w:t>
            </w:r>
          </w:p>
        </w:tc>
      </w:tr>
      <w:tr w:rsidR="003A0CB6" w:rsidRPr="001025FE" w14:paraId="567A3F4F" w14:textId="77777777" w:rsidTr="003A0CB6">
        <w:tc>
          <w:tcPr>
            <w:tcW w:w="9214" w:type="dxa"/>
          </w:tcPr>
          <w:p w14:paraId="09959284" w14:textId="3F2E3326" w:rsidR="003A0CB6" w:rsidRPr="001025FE" w:rsidRDefault="002E38CC" w:rsidP="002E38CC">
            <w:pPr>
              <w:pStyle w:val="BodyText3"/>
              <w:widowControl/>
              <w:rPr>
                <w:rFonts w:ascii="Arial" w:hAnsi="Arial" w:cs="Arial"/>
                <w:sz w:val="20"/>
              </w:rPr>
            </w:pPr>
            <w:r w:rsidRPr="001025FE">
              <w:rPr>
                <w:rFonts w:ascii="Arial" w:hAnsi="Arial" w:cs="Arial"/>
                <w:sz w:val="20"/>
              </w:rPr>
              <w:t>Disciplinary Policy and Procedure</w:t>
            </w:r>
          </w:p>
        </w:tc>
        <w:tc>
          <w:tcPr>
            <w:tcW w:w="4536" w:type="dxa"/>
          </w:tcPr>
          <w:p w14:paraId="4A22759E" w14:textId="003FBDE7" w:rsidR="003A0CB6" w:rsidRPr="001025FE" w:rsidRDefault="002E38CC" w:rsidP="003A0CB6">
            <w:pPr>
              <w:pStyle w:val="BodyText3"/>
              <w:widowControl/>
              <w:ind w:left="3294" w:hanging="3320"/>
              <w:rPr>
                <w:rFonts w:ascii="Arial" w:hAnsi="Arial" w:cs="Arial"/>
                <w:sz w:val="20"/>
              </w:rPr>
            </w:pPr>
            <w:r w:rsidRPr="001025FE">
              <w:rPr>
                <w:rFonts w:ascii="Arial" w:hAnsi="Arial" w:cs="Arial"/>
                <w:sz w:val="20"/>
              </w:rPr>
              <w:t>Director of Human Resources</w:t>
            </w:r>
          </w:p>
        </w:tc>
      </w:tr>
      <w:tr w:rsidR="003A0CB6" w:rsidRPr="001025FE" w14:paraId="7DA70F65" w14:textId="77777777" w:rsidTr="003A0CB6">
        <w:tc>
          <w:tcPr>
            <w:tcW w:w="9214" w:type="dxa"/>
          </w:tcPr>
          <w:p w14:paraId="2ADBABF7" w14:textId="2864E9D6" w:rsidR="003A0CB6" w:rsidRPr="001025FE" w:rsidRDefault="002E38CC" w:rsidP="002E38CC">
            <w:pPr>
              <w:pStyle w:val="BodyText3"/>
              <w:widowControl/>
              <w:rPr>
                <w:rFonts w:ascii="Arial" w:hAnsi="Arial" w:cs="Arial"/>
                <w:sz w:val="20"/>
              </w:rPr>
            </w:pPr>
            <w:r w:rsidRPr="001025FE">
              <w:rPr>
                <w:rFonts w:ascii="Arial" w:hAnsi="Arial" w:cs="Arial"/>
                <w:sz w:val="20"/>
              </w:rPr>
              <w:t>Risk Management Policy</w:t>
            </w:r>
          </w:p>
        </w:tc>
        <w:tc>
          <w:tcPr>
            <w:tcW w:w="4536" w:type="dxa"/>
          </w:tcPr>
          <w:p w14:paraId="4860FCA5" w14:textId="426B82F2" w:rsidR="003A0CB6" w:rsidRPr="001025FE" w:rsidRDefault="002E38CC" w:rsidP="002E38CC">
            <w:pPr>
              <w:pStyle w:val="BodyText3"/>
              <w:widowControl/>
              <w:ind w:left="-26"/>
              <w:rPr>
                <w:rFonts w:ascii="Arial" w:hAnsi="Arial" w:cs="Arial"/>
                <w:sz w:val="20"/>
              </w:rPr>
            </w:pPr>
            <w:r w:rsidRPr="001025FE">
              <w:rPr>
                <w:rFonts w:ascii="Arial" w:hAnsi="Arial" w:cs="Arial"/>
                <w:sz w:val="20"/>
              </w:rPr>
              <w:t>Director of Planning and Business Intelligence</w:t>
            </w:r>
          </w:p>
        </w:tc>
      </w:tr>
      <w:tr w:rsidR="003A0CB6" w:rsidRPr="001025FE" w14:paraId="03B77C8D" w14:textId="77777777" w:rsidTr="003A0CB6">
        <w:tc>
          <w:tcPr>
            <w:tcW w:w="9214" w:type="dxa"/>
          </w:tcPr>
          <w:p w14:paraId="0D068AA8" w14:textId="318B5BBA" w:rsidR="003A0CB6" w:rsidRPr="001025FE" w:rsidRDefault="002E38CC" w:rsidP="002E38CC">
            <w:pPr>
              <w:pStyle w:val="BodyText3"/>
              <w:widowControl/>
              <w:jc w:val="left"/>
              <w:rPr>
                <w:rFonts w:ascii="Arial" w:hAnsi="Arial" w:cs="Arial"/>
                <w:sz w:val="20"/>
              </w:rPr>
            </w:pPr>
            <w:r w:rsidRPr="001025FE">
              <w:rPr>
                <w:rFonts w:ascii="Arial" w:hAnsi="Arial" w:cs="Arial"/>
                <w:sz w:val="20"/>
              </w:rPr>
              <w:t>Public Interests Disclosure (Whistle Blowing) Policy</w:t>
            </w:r>
          </w:p>
        </w:tc>
        <w:tc>
          <w:tcPr>
            <w:tcW w:w="4536" w:type="dxa"/>
          </w:tcPr>
          <w:p w14:paraId="4F021756" w14:textId="4A4AB1EE" w:rsidR="003A0CB6" w:rsidRPr="001025FE" w:rsidRDefault="002E38CC" w:rsidP="002E38CC">
            <w:pPr>
              <w:pStyle w:val="BodyText3"/>
              <w:widowControl/>
              <w:ind w:left="-26"/>
              <w:rPr>
                <w:rFonts w:ascii="Arial" w:hAnsi="Arial" w:cs="Arial"/>
                <w:sz w:val="20"/>
              </w:rPr>
            </w:pPr>
            <w:r w:rsidRPr="001025FE">
              <w:rPr>
                <w:rFonts w:ascii="Arial" w:hAnsi="Arial" w:cs="Arial"/>
                <w:sz w:val="20"/>
              </w:rPr>
              <w:t>University Registrar</w:t>
            </w:r>
          </w:p>
        </w:tc>
      </w:tr>
      <w:tr w:rsidR="002E38CC" w:rsidRPr="001025FE" w14:paraId="132191E2" w14:textId="77777777" w:rsidTr="003A0CB6">
        <w:tc>
          <w:tcPr>
            <w:tcW w:w="9214" w:type="dxa"/>
          </w:tcPr>
          <w:p w14:paraId="3131F082" w14:textId="0BC05ABF" w:rsidR="002E38CC" w:rsidRPr="001025FE" w:rsidRDefault="002E38CC" w:rsidP="002E38CC">
            <w:pPr>
              <w:pStyle w:val="BodyText3"/>
              <w:widowControl/>
              <w:rPr>
                <w:rFonts w:ascii="Arial" w:hAnsi="Arial" w:cs="Arial"/>
                <w:sz w:val="20"/>
              </w:rPr>
            </w:pPr>
            <w:r w:rsidRPr="001025FE">
              <w:rPr>
                <w:rFonts w:ascii="Arial" w:hAnsi="Arial" w:cs="Arial"/>
                <w:sz w:val="20"/>
              </w:rPr>
              <w:t>Expenses Policies (UK, Overseas, Executive</w:t>
            </w:r>
            <w:r w:rsidR="001C7685" w:rsidRPr="001025FE">
              <w:rPr>
                <w:rFonts w:ascii="Arial" w:hAnsi="Arial" w:cs="Arial"/>
                <w:sz w:val="20"/>
              </w:rPr>
              <w:t>, Expense Card</w:t>
            </w:r>
            <w:r w:rsidRPr="001025FE">
              <w:rPr>
                <w:rFonts w:ascii="Arial" w:hAnsi="Arial" w:cs="Arial"/>
                <w:sz w:val="20"/>
              </w:rPr>
              <w:t>)</w:t>
            </w:r>
          </w:p>
        </w:tc>
        <w:tc>
          <w:tcPr>
            <w:tcW w:w="4536" w:type="dxa"/>
          </w:tcPr>
          <w:p w14:paraId="63E48969" w14:textId="28F0C0B2" w:rsidR="002E38CC" w:rsidRPr="001025FE" w:rsidRDefault="002E38CC" w:rsidP="002E38CC">
            <w:pPr>
              <w:pStyle w:val="BodyText3"/>
              <w:widowControl/>
              <w:ind w:left="-26"/>
              <w:rPr>
                <w:rFonts w:ascii="Arial" w:hAnsi="Arial" w:cs="Arial"/>
                <w:sz w:val="20"/>
              </w:rPr>
            </w:pPr>
            <w:r w:rsidRPr="001025FE">
              <w:rPr>
                <w:rFonts w:ascii="Arial" w:hAnsi="Arial" w:cs="Arial"/>
                <w:sz w:val="20"/>
              </w:rPr>
              <w:t>Director of Human Resources</w:t>
            </w:r>
          </w:p>
        </w:tc>
      </w:tr>
      <w:tr w:rsidR="001C7685" w:rsidRPr="001025FE" w14:paraId="29CA5FDE" w14:textId="77777777" w:rsidTr="003A0CB6">
        <w:tc>
          <w:tcPr>
            <w:tcW w:w="9214" w:type="dxa"/>
          </w:tcPr>
          <w:p w14:paraId="09E648B2" w14:textId="07C350B1" w:rsidR="001C7685" w:rsidRPr="001025FE" w:rsidRDefault="001C7685" w:rsidP="002E38CC">
            <w:pPr>
              <w:pStyle w:val="BodyText3"/>
              <w:widowControl/>
              <w:rPr>
                <w:rFonts w:ascii="Arial" w:hAnsi="Arial" w:cs="Arial"/>
                <w:sz w:val="20"/>
              </w:rPr>
            </w:pPr>
            <w:r w:rsidRPr="001025FE">
              <w:rPr>
                <w:rFonts w:ascii="Arial" w:hAnsi="Arial" w:cs="Arial"/>
                <w:sz w:val="20"/>
              </w:rPr>
              <w:t>Statement of Policy on the Local Government Pension Scheme</w:t>
            </w:r>
            <w:r w:rsidR="00224C74" w:rsidRPr="001025FE">
              <w:rPr>
                <w:rFonts w:ascii="Arial" w:hAnsi="Arial" w:cs="Arial"/>
                <w:sz w:val="20"/>
              </w:rPr>
              <w:t xml:space="preserve"> (the ‘Statement of Discretions’)</w:t>
            </w:r>
          </w:p>
        </w:tc>
        <w:tc>
          <w:tcPr>
            <w:tcW w:w="4536" w:type="dxa"/>
          </w:tcPr>
          <w:p w14:paraId="627F93FA" w14:textId="5EDF7F94" w:rsidR="001C7685" w:rsidRPr="001025FE" w:rsidRDefault="001C7685" w:rsidP="002E38CC">
            <w:pPr>
              <w:pStyle w:val="BodyText3"/>
              <w:widowControl/>
              <w:ind w:left="-26"/>
              <w:rPr>
                <w:rFonts w:ascii="Arial" w:hAnsi="Arial" w:cs="Arial"/>
                <w:sz w:val="20"/>
              </w:rPr>
            </w:pPr>
            <w:r w:rsidRPr="001025FE">
              <w:rPr>
                <w:rFonts w:ascii="Arial" w:hAnsi="Arial" w:cs="Arial"/>
                <w:sz w:val="20"/>
              </w:rPr>
              <w:t>Director of Human Resources</w:t>
            </w:r>
          </w:p>
        </w:tc>
      </w:tr>
      <w:tr w:rsidR="001C7685" w:rsidRPr="001025FE" w14:paraId="4A672C2A" w14:textId="77777777" w:rsidTr="003A0CB6">
        <w:tc>
          <w:tcPr>
            <w:tcW w:w="9214" w:type="dxa"/>
          </w:tcPr>
          <w:p w14:paraId="53CC8457" w14:textId="6A6CFF3C" w:rsidR="001C7685" w:rsidRPr="001025FE" w:rsidRDefault="001C7685" w:rsidP="002E38CC">
            <w:pPr>
              <w:pStyle w:val="BodyText3"/>
              <w:widowControl/>
              <w:rPr>
                <w:rFonts w:ascii="Arial" w:hAnsi="Arial" w:cs="Arial"/>
                <w:sz w:val="20"/>
              </w:rPr>
            </w:pPr>
            <w:r w:rsidRPr="001025FE">
              <w:rPr>
                <w:rFonts w:ascii="Arial" w:hAnsi="Arial" w:cs="Arial"/>
                <w:sz w:val="20"/>
              </w:rPr>
              <w:t>Intellectual Property Rights Policy</w:t>
            </w:r>
          </w:p>
        </w:tc>
        <w:tc>
          <w:tcPr>
            <w:tcW w:w="4536" w:type="dxa"/>
          </w:tcPr>
          <w:p w14:paraId="67FDDC63" w14:textId="7288971B" w:rsidR="001C7685" w:rsidRPr="001025FE" w:rsidRDefault="001C7685" w:rsidP="002E38CC">
            <w:pPr>
              <w:pStyle w:val="BodyText3"/>
              <w:widowControl/>
              <w:ind w:left="-26"/>
              <w:rPr>
                <w:rFonts w:ascii="Arial" w:hAnsi="Arial" w:cs="Arial"/>
                <w:sz w:val="20"/>
              </w:rPr>
            </w:pPr>
            <w:r w:rsidRPr="001025FE">
              <w:rPr>
                <w:rFonts w:ascii="Arial" w:hAnsi="Arial" w:cs="Arial"/>
                <w:sz w:val="20"/>
              </w:rPr>
              <w:t>Director of Research and Enterprise</w:t>
            </w:r>
          </w:p>
        </w:tc>
      </w:tr>
    </w:tbl>
    <w:p w14:paraId="09FC3BD8" w14:textId="77777777" w:rsidR="00C85B09" w:rsidRPr="001025FE" w:rsidRDefault="00C85B09" w:rsidP="003A0CB6">
      <w:pPr>
        <w:spacing w:before="120"/>
        <w:jc w:val="both"/>
        <w:rPr>
          <w:sz w:val="24"/>
        </w:rPr>
      </w:pPr>
    </w:p>
    <w:p w14:paraId="28435298" w14:textId="39C45687" w:rsidR="00C85B09" w:rsidRPr="00C85B09" w:rsidRDefault="00C85B09" w:rsidP="003A0CB6">
      <w:pPr>
        <w:spacing w:before="120"/>
        <w:jc w:val="both"/>
        <w:rPr>
          <w:sz w:val="24"/>
        </w:rPr>
      </w:pPr>
      <w:r w:rsidRPr="001025FE">
        <w:rPr>
          <w:sz w:val="24"/>
        </w:rPr>
        <w:t>All of the above policies are available on the University portal.</w:t>
      </w:r>
    </w:p>
    <w:sectPr w:rsidR="00C85B09" w:rsidRPr="00C85B09" w:rsidSect="00C85B09">
      <w:headerReference w:type="default" r:id="rId12"/>
      <w:footnotePr>
        <w:numRestart w:val="eachSect"/>
      </w:footnotePr>
      <w:endnotePr>
        <w:numFmt w:val="decimal"/>
      </w:endnotePr>
      <w:pgSz w:w="16840" w:h="11900" w:orient="landscape"/>
      <w:pgMar w:top="567" w:right="1134" w:bottom="851" w:left="1440" w:header="720" w:footer="720" w:gutter="0"/>
      <w:pgNumType w:start="1"/>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080C" w14:textId="77777777" w:rsidR="00C14819" w:rsidRDefault="00C14819">
      <w:r>
        <w:separator/>
      </w:r>
    </w:p>
  </w:endnote>
  <w:endnote w:type="continuationSeparator" w:id="0">
    <w:p w14:paraId="6ED892FA" w14:textId="77777777" w:rsidR="00C14819" w:rsidRDefault="00C1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no MT">
    <w:altName w:val="Bauhaus 93"/>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EPCAJ D+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8D03" w14:textId="508E1EF7" w:rsidR="003F7586" w:rsidRPr="00066F86" w:rsidRDefault="003F7586">
    <w:pPr>
      <w:pStyle w:val="Footer"/>
      <w:rPr>
        <w:rFonts w:ascii="Arial" w:hAnsi="Arial" w:cs="Arial"/>
        <w:sz w:val="16"/>
        <w:szCs w:val="16"/>
      </w:rPr>
    </w:pPr>
    <w:r w:rsidRPr="00066F86">
      <w:rPr>
        <w:rFonts w:ascii="Arial" w:hAnsi="Arial" w:cs="Arial"/>
        <w:sz w:val="16"/>
        <w:szCs w:val="16"/>
      </w:rPr>
      <w:t>Version 1.4 (Nov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04F9" w14:textId="4B2A100B" w:rsidR="00C14819" w:rsidRDefault="00C14819" w:rsidP="004602D7">
    <w:pPr>
      <w:pStyle w:val="Footer"/>
      <w:jc w:val="center"/>
    </w:pPr>
  </w:p>
  <w:p w14:paraId="0713B959" w14:textId="77777777" w:rsidR="00C14819" w:rsidRPr="00231A10" w:rsidRDefault="00C14819" w:rsidP="00B91B3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6194C" w14:textId="77777777" w:rsidR="00C14819" w:rsidRDefault="00C14819">
      <w:r>
        <w:separator/>
      </w:r>
    </w:p>
  </w:footnote>
  <w:footnote w:type="continuationSeparator" w:id="0">
    <w:p w14:paraId="452C2F73" w14:textId="77777777" w:rsidR="00C14819" w:rsidRDefault="00C1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F223" w14:textId="661AC321" w:rsidR="00C14819" w:rsidRPr="009C3106" w:rsidRDefault="00C14819" w:rsidP="009C3106">
    <w:pPr>
      <w:pStyle w:val="Header"/>
      <w:ind w:right="-760" w:hanging="993"/>
      <w:rPr>
        <w:b/>
      </w:rPr>
    </w:pPr>
    <w:r w:rsidRPr="009C3106">
      <w:rPr>
        <w:b/>
      </w:rPr>
      <w:t>SCHE</w:t>
    </w:r>
    <w:r>
      <w:rPr>
        <w:b/>
      </w:rPr>
      <w:t>ME</w:t>
    </w:r>
    <w:r w:rsidRPr="009C3106">
      <w:rPr>
        <w:b/>
      </w:rPr>
      <w:t xml:space="preserve"> OF DELEGATED FINANCIAL AUTHORITIES</w:t>
    </w:r>
    <w:r w:rsidRPr="009C3106">
      <w:rPr>
        <w:b/>
      </w:rPr>
      <w:tab/>
    </w:r>
    <w:r w:rsidRPr="009C3106">
      <w:rPr>
        <w:b/>
      </w:rPr>
      <w:tab/>
    </w:r>
    <w:r w:rsidRPr="009C3106">
      <w:rPr>
        <w:b/>
      </w:rPr>
      <w:tab/>
    </w:r>
    <w:r w:rsidRPr="009C3106">
      <w:rPr>
        <w:b/>
      </w:rPr>
      <w:tab/>
    </w:r>
    <w:r w:rsidRPr="009C3106">
      <w:rPr>
        <w:b/>
      </w:rPr>
      <w:tab/>
    </w:r>
    <w:r w:rsidRPr="009C3106">
      <w:rPr>
        <w:b/>
      </w:rPr>
      <w:tab/>
    </w:r>
    <w:r w:rsidRPr="009C3106">
      <w:rPr>
        <w:b/>
      </w:rPr>
      <w:tab/>
      <w:t xml:space="preserve">                     APPENDIX A</w:t>
    </w:r>
    <w:r w:rsidRPr="009C3106">
      <w:rPr>
        <w:b/>
      </w:rPr>
      <w:tab/>
    </w:r>
    <w:r w:rsidRPr="009C3106">
      <w:rPr>
        <w:b/>
      </w:rPr>
      <w:tab/>
    </w:r>
    <w:r w:rsidRPr="009C3106">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4512" w14:textId="77777777" w:rsidR="00C14819" w:rsidRDefault="00C14819" w:rsidP="002A7307">
    <w:pPr>
      <w:pStyle w:val="Header"/>
      <w:ind w:hanging="993"/>
      <w:jc w:val="right"/>
      <w:rPr>
        <w:b/>
      </w:rPr>
    </w:pPr>
    <w:r w:rsidRPr="009C3106">
      <w:rPr>
        <w:b/>
      </w:rPr>
      <w:tab/>
    </w:r>
    <w:r w:rsidRPr="009C3106">
      <w:rPr>
        <w:b/>
      </w:rPr>
      <w:tab/>
    </w:r>
    <w:r w:rsidRPr="009C3106">
      <w:rPr>
        <w:b/>
      </w:rPr>
      <w:tab/>
    </w:r>
    <w:r>
      <w:rPr>
        <w:b/>
      </w:rPr>
      <w:t>APPENDIX B</w:t>
    </w:r>
  </w:p>
  <w:p w14:paraId="7C7BCC48" w14:textId="1B761FE2" w:rsidR="00C14819" w:rsidRPr="009C3106" w:rsidRDefault="00C14819" w:rsidP="002A7307">
    <w:pPr>
      <w:pStyle w:val="Header"/>
      <w:ind w:hanging="993"/>
      <w:jc w:val="right"/>
      <w:rPr>
        <w:b/>
      </w:rPr>
    </w:pPr>
    <w:r>
      <w:rPr>
        <w:noProof/>
        <w:lang w:eastAsia="en-GB"/>
      </w:rPr>
      <w:drawing>
        <wp:inline distT="0" distB="0" distL="0" distR="0" wp14:anchorId="1AEE31B0" wp14:editId="18554CF5">
          <wp:extent cx="774700" cy="787400"/>
          <wp:effectExtent l="0" t="0" r="12700" b="0"/>
          <wp:docPr id="1" name="Picture 1" descr="MS WORD -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WORD - Black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787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8A89" w14:textId="77777777" w:rsidR="00C14819" w:rsidRDefault="00C14819" w:rsidP="002A7307">
    <w:pPr>
      <w:pStyle w:val="Header"/>
      <w:ind w:hanging="993"/>
      <w:jc w:val="right"/>
      <w:rPr>
        <w:b/>
      </w:rPr>
    </w:pPr>
    <w:r w:rsidRPr="009C3106">
      <w:rPr>
        <w:b/>
      </w:rPr>
      <w:tab/>
    </w:r>
    <w:r w:rsidRPr="009C3106">
      <w:rPr>
        <w:b/>
      </w:rPr>
      <w:tab/>
    </w:r>
    <w:r w:rsidRPr="009C3106">
      <w:rPr>
        <w:b/>
      </w:rPr>
      <w:tab/>
    </w:r>
    <w:r>
      <w:rPr>
        <w:b/>
      </w:rPr>
      <w:t>APPENDIX C</w:t>
    </w:r>
  </w:p>
  <w:p w14:paraId="19637F31" w14:textId="7845AF99" w:rsidR="00C14819" w:rsidRPr="009C3106" w:rsidRDefault="00C14819" w:rsidP="002A7307">
    <w:pPr>
      <w:pStyle w:val="Header"/>
      <w:ind w:hanging="993"/>
      <w:jc w:val="right"/>
      <w:rPr>
        <w:b/>
      </w:rPr>
    </w:pPr>
    <w:r>
      <w:rPr>
        <w:noProof/>
        <w:lang w:eastAsia="en-GB"/>
      </w:rPr>
      <w:drawing>
        <wp:inline distT="0" distB="0" distL="0" distR="0" wp14:anchorId="3EF4E249" wp14:editId="5491CBD6">
          <wp:extent cx="774700" cy="787400"/>
          <wp:effectExtent l="0" t="0" r="12700" b="0"/>
          <wp:docPr id="2" name="Picture 2" descr="MS WORD -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WORD - Black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6023"/>
    <w:multiLevelType w:val="multilevel"/>
    <w:tmpl w:val="0809001D"/>
    <w:styleLink w:val="Style2"/>
    <w:lvl w:ilvl="0">
      <w:start w:val="1"/>
      <w:numFmt w:val="decimal"/>
      <w:lvlText w:val="%1)"/>
      <w:lvlJc w:val="left"/>
      <w:pPr>
        <w:ind w:left="360" w:hanging="360"/>
      </w:pPr>
      <w:rPr>
        <w:rFonts w:ascii="Arial" w:hAnsi="Arial"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5B419FD"/>
    <w:multiLevelType w:val="multilevel"/>
    <w:tmpl w:val="0809001F"/>
    <w:styleLink w:val="Style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5F72BA6"/>
    <w:multiLevelType w:val="hybridMultilevel"/>
    <w:tmpl w:val="71BCCE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B6466AC"/>
    <w:multiLevelType w:val="multilevel"/>
    <w:tmpl w:val="0809001D"/>
    <w:styleLink w:val="Style4"/>
    <w:lvl w:ilvl="0">
      <w:start w:val="1"/>
      <w:numFmt w:val="decimal"/>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B947603"/>
    <w:multiLevelType w:val="hybridMultilevel"/>
    <w:tmpl w:val="448ADE14"/>
    <w:lvl w:ilvl="0" w:tplc="FFFFFFFF">
      <w:start w:val="1"/>
      <w:numFmt w:val="bullet"/>
      <w:lvlText w:val=""/>
      <w:legacy w:legacy="1" w:legacySpace="0" w:legacyIndent="453"/>
      <w:lvlJc w:val="left"/>
      <w:pPr>
        <w:ind w:left="720" w:hanging="45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C50FC"/>
    <w:multiLevelType w:val="multilevel"/>
    <w:tmpl w:val="08090025"/>
    <w:styleLink w:val="finregssectiontitl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15:restartNumberingAfterBreak="0">
    <w:nsid w:val="403039C5"/>
    <w:multiLevelType w:val="multilevel"/>
    <w:tmpl w:val="0809001D"/>
    <w:styleLink w:val="Style3"/>
    <w:lvl w:ilvl="0">
      <w:start w:val="1"/>
      <w:numFmt w:val="decimal"/>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03C052D"/>
    <w:multiLevelType w:val="hybridMultilevel"/>
    <w:tmpl w:val="665AF096"/>
    <w:lvl w:ilvl="0" w:tplc="BD8670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F614D"/>
    <w:multiLevelType w:val="multilevel"/>
    <w:tmpl w:val="14821BBA"/>
    <w:name w:val="HEFCE"/>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 w15:restartNumberingAfterBreak="0">
    <w:nsid w:val="491613C3"/>
    <w:multiLevelType w:val="hybridMultilevel"/>
    <w:tmpl w:val="A2B204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337B1"/>
    <w:multiLevelType w:val="multilevel"/>
    <w:tmpl w:val="08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1295F31"/>
    <w:multiLevelType w:val="hybridMultilevel"/>
    <w:tmpl w:val="A022C294"/>
    <w:lvl w:ilvl="0" w:tplc="ABF67072">
      <w:start w:val="4"/>
      <w:numFmt w:val="bullet"/>
      <w:lvlText w:val="–"/>
      <w:lvlJc w:val="left"/>
      <w:pPr>
        <w:tabs>
          <w:tab w:val="num" w:pos="1440"/>
        </w:tabs>
        <w:ind w:left="1440" w:hanging="420"/>
      </w:pPr>
      <w:rPr>
        <w:rFonts w:ascii="Arial" w:eastAsia="Times New Roman" w:hAnsi="Arial" w:hint="default"/>
      </w:rPr>
    </w:lvl>
    <w:lvl w:ilvl="1" w:tplc="08090003">
      <w:start w:val="1"/>
      <w:numFmt w:val="bullet"/>
      <w:lvlText w:val="o"/>
      <w:lvlJc w:val="left"/>
      <w:pPr>
        <w:tabs>
          <w:tab w:val="num" w:pos="2100"/>
        </w:tabs>
        <w:ind w:left="2100" w:hanging="360"/>
      </w:pPr>
      <w:rPr>
        <w:rFonts w:ascii="Courier New" w:hAnsi="Courier New" w:hint="default"/>
      </w:rPr>
    </w:lvl>
    <w:lvl w:ilvl="2" w:tplc="08090005">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1"/>
  </w:num>
  <w:num w:numId="6">
    <w:abstractNumId w:val="5"/>
  </w:num>
  <w:num w:numId="7">
    <w:abstractNumId w:val="2"/>
  </w:num>
  <w:num w:numId="8">
    <w:abstractNumId w:val="11"/>
  </w:num>
  <w:num w:numId="9">
    <w:abstractNumId w:val="9"/>
  </w:num>
  <w:num w:numId="10">
    <w:abstractNumId w:val="7"/>
  </w:num>
  <w:num w:numId="11">
    <w:abstractNumId w:val="4"/>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58"/>
    <w:rsid w:val="0000002D"/>
    <w:rsid w:val="00001522"/>
    <w:rsid w:val="00005021"/>
    <w:rsid w:val="0000688D"/>
    <w:rsid w:val="0001151D"/>
    <w:rsid w:val="00011BBC"/>
    <w:rsid w:val="00011C69"/>
    <w:rsid w:val="00013199"/>
    <w:rsid w:val="00014072"/>
    <w:rsid w:val="000227F1"/>
    <w:rsid w:val="00022FDA"/>
    <w:rsid w:val="00024E4E"/>
    <w:rsid w:val="000254AD"/>
    <w:rsid w:val="00026970"/>
    <w:rsid w:val="00027878"/>
    <w:rsid w:val="00032E98"/>
    <w:rsid w:val="00035369"/>
    <w:rsid w:val="00035418"/>
    <w:rsid w:val="000368D4"/>
    <w:rsid w:val="000368D9"/>
    <w:rsid w:val="000378B5"/>
    <w:rsid w:val="0004103C"/>
    <w:rsid w:val="00041D8B"/>
    <w:rsid w:val="00041EAB"/>
    <w:rsid w:val="00044747"/>
    <w:rsid w:val="00045BDB"/>
    <w:rsid w:val="0005002E"/>
    <w:rsid w:val="00050CDB"/>
    <w:rsid w:val="000532F1"/>
    <w:rsid w:val="00053561"/>
    <w:rsid w:val="00053855"/>
    <w:rsid w:val="00053BC0"/>
    <w:rsid w:val="00053DAC"/>
    <w:rsid w:val="00055F57"/>
    <w:rsid w:val="000569C6"/>
    <w:rsid w:val="00061B70"/>
    <w:rsid w:val="000633C9"/>
    <w:rsid w:val="00065A83"/>
    <w:rsid w:val="00066569"/>
    <w:rsid w:val="00066F86"/>
    <w:rsid w:val="00070021"/>
    <w:rsid w:val="0007202C"/>
    <w:rsid w:val="00073C15"/>
    <w:rsid w:val="00074809"/>
    <w:rsid w:val="0007678F"/>
    <w:rsid w:val="00081C21"/>
    <w:rsid w:val="00081C2E"/>
    <w:rsid w:val="00082F03"/>
    <w:rsid w:val="00083880"/>
    <w:rsid w:val="000850FB"/>
    <w:rsid w:val="000865F2"/>
    <w:rsid w:val="00086C93"/>
    <w:rsid w:val="00086FE2"/>
    <w:rsid w:val="00087F2B"/>
    <w:rsid w:val="0009039D"/>
    <w:rsid w:val="00094925"/>
    <w:rsid w:val="000976C5"/>
    <w:rsid w:val="000A1E09"/>
    <w:rsid w:val="000A299F"/>
    <w:rsid w:val="000A49BE"/>
    <w:rsid w:val="000A57DF"/>
    <w:rsid w:val="000B0071"/>
    <w:rsid w:val="000B25DD"/>
    <w:rsid w:val="000B2E9D"/>
    <w:rsid w:val="000B439F"/>
    <w:rsid w:val="000B5D0E"/>
    <w:rsid w:val="000C3AC5"/>
    <w:rsid w:val="000C3AFA"/>
    <w:rsid w:val="000C3B58"/>
    <w:rsid w:val="000C489B"/>
    <w:rsid w:val="000C4917"/>
    <w:rsid w:val="000C4AC5"/>
    <w:rsid w:val="000C4ED1"/>
    <w:rsid w:val="000C596A"/>
    <w:rsid w:val="000D0FC5"/>
    <w:rsid w:val="000D1AE7"/>
    <w:rsid w:val="000D2719"/>
    <w:rsid w:val="000D505F"/>
    <w:rsid w:val="000D59CE"/>
    <w:rsid w:val="000E0529"/>
    <w:rsid w:val="000E1530"/>
    <w:rsid w:val="000E5760"/>
    <w:rsid w:val="000E5965"/>
    <w:rsid w:val="000F1B96"/>
    <w:rsid w:val="000F2A7F"/>
    <w:rsid w:val="000F3110"/>
    <w:rsid w:val="000F32DC"/>
    <w:rsid w:val="000F40AF"/>
    <w:rsid w:val="000F43C9"/>
    <w:rsid w:val="000F4C4C"/>
    <w:rsid w:val="000F5397"/>
    <w:rsid w:val="000F5A07"/>
    <w:rsid w:val="000F6892"/>
    <w:rsid w:val="000F7DD8"/>
    <w:rsid w:val="001025FE"/>
    <w:rsid w:val="00104D44"/>
    <w:rsid w:val="00111DCC"/>
    <w:rsid w:val="001120A7"/>
    <w:rsid w:val="0011356F"/>
    <w:rsid w:val="00116066"/>
    <w:rsid w:val="00117372"/>
    <w:rsid w:val="001209C4"/>
    <w:rsid w:val="00123D86"/>
    <w:rsid w:val="00125546"/>
    <w:rsid w:val="001277DB"/>
    <w:rsid w:val="001318EB"/>
    <w:rsid w:val="00134A69"/>
    <w:rsid w:val="00136663"/>
    <w:rsid w:val="001411E6"/>
    <w:rsid w:val="001467BF"/>
    <w:rsid w:val="00146F0E"/>
    <w:rsid w:val="00152C32"/>
    <w:rsid w:val="00155156"/>
    <w:rsid w:val="00155685"/>
    <w:rsid w:val="00157B54"/>
    <w:rsid w:val="001602BB"/>
    <w:rsid w:val="001602D3"/>
    <w:rsid w:val="0016256A"/>
    <w:rsid w:val="00164B42"/>
    <w:rsid w:val="00166AAD"/>
    <w:rsid w:val="00167216"/>
    <w:rsid w:val="00170AB2"/>
    <w:rsid w:val="00171F7A"/>
    <w:rsid w:val="00172AF1"/>
    <w:rsid w:val="00173511"/>
    <w:rsid w:val="001765F4"/>
    <w:rsid w:val="00176A96"/>
    <w:rsid w:val="0018011E"/>
    <w:rsid w:val="00181A39"/>
    <w:rsid w:val="00181A3D"/>
    <w:rsid w:val="00181FF5"/>
    <w:rsid w:val="00182EA8"/>
    <w:rsid w:val="00191369"/>
    <w:rsid w:val="00194CA0"/>
    <w:rsid w:val="00195BA6"/>
    <w:rsid w:val="001A34B5"/>
    <w:rsid w:val="001A35C1"/>
    <w:rsid w:val="001A4F3A"/>
    <w:rsid w:val="001A565E"/>
    <w:rsid w:val="001A7340"/>
    <w:rsid w:val="001A76CB"/>
    <w:rsid w:val="001B486A"/>
    <w:rsid w:val="001B4DBE"/>
    <w:rsid w:val="001C2F91"/>
    <w:rsid w:val="001C40B8"/>
    <w:rsid w:val="001C7685"/>
    <w:rsid w:val="001D1D92"/>
    <w:rsid w:val="001D434F"/>
    <w:rsid w:val="001D4F7E"/>
    <w:rsid w:val="001D4FB7"/>
    <w:rsid w:val="001D56BD"/>
    <w:rsid w:val="001D5927"/>
    <w:rsid w:val="001E183A"/>
    <w:rsid w:val="001E2966"/>
    <w:rsid w:val="001E2ADA"/>
    <w:rsid w:val="001E478F"/>
    <w:rsid w:val="001E489E"/>
    <w:rsid w:val="001E4D02"/>
    <w:rsid w:val="001E5F58"/>
    <w:rsid w:val="001E6FE0"/>
    <w:rsid w:val="001F00CE"/>
    <w:rsid w:val="001F1B94"/>
    <w:rsid w:val="001F64D7"/>
    <w:rsid w:val="001F7A35"/>
    <w:rsid w:val="00201501"/>
    <w:rsid w:val="0020242D"/>
    <w:rsid w:val="00203BA3"/>
    <w:rsid w:val="00204212"/>
    <w:rsid w:val="00211FB1"/>
    <w:rsid w:val="002219B9"/>
    <w:rsid w:val="00222D25"/>
    <w:rsid w:val="00224C74"/>
    <w:rsid w:val="00225F47"/>
    <w:rsid w:val="00227A3D"/>
    <w:rsid w:val="00231A10"/>
    <w:rsid w:val="00231CB6"/>
    <w:rsid w:val="00232168"/>
    <w:rsid w:val="00233BBF"/>
    <w:rsid w:val="002345F2"/>
    <w:rsid w:val="00240AE2"/>
    <w:rsid w:val="00246AC6"/>
    <w:rsid w:val="00247D3F"/>
    <w:rsid w:val="00250DAC"/>
    <w:rsid w:val="002510BD"/>
    <w:rsid w:val="002536F0"/>
    <w:rsid w:val="00254DFF"/>
    <w:rsid w:val="0025710C"/>
    <w:rsid w:val="00260407"/>
    <w:rsid w:val="002604B0"/>
    <w:rsid w:val="002650E5"/>
    <w:rsid w:val="002709D2"/>
    <w:rsid w:val="002733AD"/>
    <w:rsid w:val="00274965"/>
    <w:rsid w:val="00276F5B"/>
    <w:rsid w:val="00277865"/>
    <w:rsid w:val="002827E3"/>
    <w:rsid w:val="0028705C"/>
    <w:rsid w:val="00291E4F"/>
    <w:rsid w:val="00292C1D"/>
    <w:rsid w:val="00295B57"/>
    <w:rsid w:val="0029680F"/>
    <w:rsid w:val="00297A21"/>
    <w:rsid w:val="002A58B2"/>
    <w:rsid w:val="002A6842"/>
    <w:rsid w:val="002A7307"/>
    <w:rsid w:val="002B12C6"/>
    <w:rsid w:val="002B33F0"/>
    <w:rsid w:val="002C3267"/>
    <w:rsid w:val="002C40E8"/>
    <w:rsid w:val="002C4F8C"/>
    <w:rsid w:val="002C5211"/>
    <w:rsid w:val="002C7496"/>
    <w:rsid w:val="002D0434"/>
    <w:rsid w:val="002D385C"/>
    <w:rsid w:val="002D3C9F"/>
    <w:rsid w:val="002D730C"/>
    <w:rsid w:val="002E38CC"/>
    <w:rsid w:val="002E4A64"/>
    <w:rsid w:val="002E5E8C"/>
    <w:rsid w:val="002F1E6C"/>
    <w:rsid w:val="002F337D"/>
    <w:rsid w:val="002F6498"/>
    <w:rsid w:val="002F6C70"/>
    <w:rsid w:val="002F6D8E"/>
    <w:rsid w:val="002F7DB1"/>
    <w:rsid w:val="0030337D"/>
    <w:rsid w:val="003051CA"/>
    <w:rsid w:val="00305788"/>
    <w:rsid w:val="00306184"/>
    <w:rsid w:val="0030789F"/>
    <w:rsid w:val="00310A91"/>
    <w:rsid w:val="00320148"/>
    <w:rsid w:val="00323E19"/>
    <w:rsid w:val="003331A8"/>
    <w:rsid w:val="003356A0"/>
    <w:rsid w:val="003374FD"/>
    <w:rsid w:val="003376D3"/>
    <w:rsid w:val="00340AC5"/>
    <w:rsid w:val="00342870"/>
    <w:rsid w:val="00343C3D"/>
    <w:rsid w:val="00345373"/>
    <w:rsid w:val="00346E65"/>
    <w:rsid w:val="00353513"/>
    <w:rsid w:val="003536FF"/>
    <w:rsid w:val="003551C6"/>
    <w:rsid w:val="003562CB"/>
    <w:rsid w:val="00362053"/>
    <w:rsid w:val="00373138"/>
    <w:rsid w:val="00374B39"/>
    <w:rsid w:val="00375C53"/>
    <w:rsid w:val="00376F85"/>
    <w:rsid w:val="00390D98"/>
    <w:rsid w:val="00391F58"/>
    <w:rsid w:val="00392A8A"/>
    <w:rsid w:val="003938AA"/>
    <w:rsid w:val="003945EB"/>
    <w:rsid w:val="00394866"/>
    <w:rsid w:val="003A0CB6"/>
    <w:rsid w:val="003A4A57"/>
    <w:rsid w:val="003A5697"/>
    <w:rsid w:val="003A5865"/>
    <w:rsid w:val="003A58A3"/>
    <w:rsid w:val="003A6E40"/>
    <w:rsid w:val="003A7FD8"/>
    <w:rsid w:val="003B2EEE"/>
    <w:rsid w:val="003B2FDA"/>
    <w:rsid w:val="003B5232"/>
    <w:rsid w:val="003B5789"/>
    <w:rsid w:val="003B5DE8"/>
    <w:rsid w:val="003B646F"/>
    <w:rsid w:val="003C11FD"/>
    <w:rsid w:val="003C24D6"/>
    <w:rsid w:val="003C3F94"/>
    <w:rsid w:val="003C4AC0"/>
    <w:rsid w:val="003C66F1"/>
    <w:rsid w:val="003D0024"/>
    <w:rsid w:val="003D123C"/>
    <w:rsid w:val="003D2E9F"/>
    <w:rsid w:val="003D5D23"/>
    <w:rsid w:val="003E3DBC"/>
    <w:rsid w:val="003E41AA"/>
    <w:rsid w:val="003E5396"/>
    <w:rsid w:val="003E638B"/>
    <w:rsid w:val="003F10BA"/>
    <w:rsid w:val="003F14F9"/>
    <w:rsid w:val="003F5F53"/>
    <w:rsid w:val="003F6279"/>
    <w:rsid w:val="003F65C4"/>
    <w:rsid w:val="003F749E"/>
    <w:rsid w:val="003F7586"/>
    <w:rsid w:val="0040550A"/>
    <w:rsid w:val="00405B96"/>
    <w:rsid w:val="00413A82"/>
    <w:rsid w:val="00415163"/>
    <w:rsid w:val="004158B8"/>
    <w:rsid w:val="0041798D"/>
    <w:rsid w:val="0042156A"/>
    <w:rsid w:val="004233A0"/>
    <w:rsid w:val="00425006"/>
    <w:rsid w:val="00425EAC"/>
    <w:rsid w:val="00427700"/>
    <w:rsid w:val="00432A0D"/>
    <w:rsid w:val="004349C3"/>
    <w:rsid w:val="0043734C"/>
    <w:rsid w:val="00437BBF"/>
    <w:rsid w:val="00443702"/>
    <w:rsid w:val="00446003"/>
    <w:rsid w:val="00446F99"/>
    <w:rsid w:val="00453676"/>
    <w:rsid w:val="00453B7F"/>
    <w:rsid w:val="00455902"/>
    <w:rsid w:val="0045637A"/>
    <w:rsid w:val="00456D4C"/>
    <w:rsid w:val="00456FB5"/>
    <w:rsid w:val="004602D7"/>
    <w:rsid w:val="00460BEE"/>
    <w:rsid w:val="00461E76"/>
    <w:rsid w:val="00464104"/>
    <w:rsid w:val="0046576B"/>
    <w:rsid w:val="00471EC9"/>
    <w:rsid w:val="004736F7"/>
    <w:rsid w:val="004748CA"/>
    <w:rsid w:val="00481A27"/>
    <w:rsid w:val="0048243D"/>
    <w:rsid w:val="0048336F"/>
    <w:rsid w:val="00484200"/>
    <w:rsid w:val="00484523"/>
    <w:rsid w:val="0048459C"/>
    <w:rsid w:val="0048590F"/>
    <w:rsid w:val="00485C0B"/>
    <w:rsid w:val="00487742"/>
    <w:rsid w:val="004910CA"/>
    <w:rsid w:val="004935B9"/>
    <w:rsid w:val="00496A46"/>
    <w:rsid w:val="00496DA1"/>
    <w:rsid w:val="004A476E"/>
    <w:rsid w:val="004B03C0"/>
    <w:rsid w:val="004B3B55"/>
    <w:rsid w:val="004C33AB"/>
    <w:rsid w:val="004C37A5"/>
    <w:rsid w:val="004D0578"/>
    <w:rsid w:val="004D316C"/>
    <w:rsid w:val="004D591E"/>
    <w:rsid w:val="004D7269"/>
    <w:rsid w:val="004E4CC9"/>
    <w:rsid w:val="004E55B0"/>
    <w:rsid w:val="004E5FDE"/>
    <w:rsid w:val="004E719C"/>
    <w:rsid w:val="004E7E3D"/>
    <w:rsid w:val="004F35E1"/>
    <w:rsid w:val="004F768E"/>
    <w:rsid w:val="004F78A6"/>
    <w:rsid w:val="00502D1D"/>
    <w:rsid w:val="00510E0E"/>
    <w:rsid w:val="005154DC"/>
    <w:rsid w:val="00516090"/>
    <w:rsid w:val="005160E4"/>
    <w:rsid w:val="0052290A"/>
    <w:rsid w:val="00524FB5"/>
    <w:rsid w:val="00525A97"/>
    <w:rsid w:val="00525BF5"/>
    <w:rsid w:val="00527957"/>
    <w:rsid w:val="00527D21"/>
    <w:rsid w:val="005306CF"/>
    <w:rsid w:val="00534394"/>
    <w:rsid w:val="00535423"/>
    <w:rsid w:val="00536CA6"/>
    <w:rsid w:val="00542878"/>
    <w:rsid w:val="00544D54"/>
    <w:rsid w:val="00550DD9"/>
    <w:rsid w:val="005517DB"/>
    <w:rsid w:val="005539BB"/>
    <w:rsid w:val="00557A36"/>
    <w:rsid w:val="005710E2"/>
    <w:rsid w:val="005738BD"/>
    <w:rsid w:val="005743BC"/>
    <w:rsid w:val="00574D79"/>
    <w:rsid w:val="005752F3"/>
    <w:rsid w:val="005761DE"/>
    <w:rsid w:val="005771A6"/>
    <w:rsid w:val="00577E1C"/>
    <w:rsid w:val="00577F38"/>
    <w:rsid w:val="005805AB"/>
    <w:rsid w:val="00581760"/>
    <w:rsid w:val="00583109"/>
    <w:rsid w:val="00583DB8"/>
    <w:rsid w:val="00583F6D"/>
    <w:rsid w:val="00585AD4"/>
    <w:rsid w:val="0058672A"/>
    <w:rsid w:val="00586B4D"/>
    <w:rsid w:val="00590DAC"/>
    <w:rsid w:val="005937BF"/>
    <w:rsid w:val="00596A04"/>
    <w:rsid w:val="005A0104"/>
    <w:rsid w:val="005A0AED"/>
    <w:rsid w:val="005A15D8"/>
    <w:rsid w:val="005A3419"/>
    <w:rsid w:val="005B229D"/>
    <w:rsid w:val="005C0770"/>
    <w:rsid w:val="005C5F58"/>
    <w:rsid w:val="005C7BD8"/>
    <w:rsid w:val="005D04E0"/>
    <w:rsid w:val="005D05B4"/>
    <w:rsid w:val="005E1F93"/>
    <w:rsid w:val="005E2D4A"/>
    <w:rsid w:val="005E4C7B"/>
    <w:rsid w:val="005E5707"/>
    <w:rsid w:val="005E6043"/>
    <w:rsid w:val="005F432C"/>
    <w:rsid w:val="005F534F"/>
    <w:rsid w:val="005F6D74"/>
    <w:rsid w:val="006016B5"/>
    <w:rsid w:val="006036F7"/>
    <w:rsid w:val="00610371"/>
    <w:rsid w:val="006121F5"/>
    <w:rsid w:val="00613924"/>
    <w:rsid w:val="00621EA3"/>
    <w:rsid w:val="00625A4F"/>
    <w:rsid w:val="00627F7F"/>
    <w:rsid w:val="00631315"/>
    <w:rsid w:val="00632FA6"/>
    <w:rsid w:val="006331FE"/>
    <w:rsid w:val="00635E21"/>
    <w:rsid w:val="006375D7"/>
    <w:rsid w:val="00637F0D"/>
    <w:rsid w:val="00642E58"/>
    <w:rsid w:val="00643C84"/>
    <w:rsid w:val="00651809"/>
    <w:rsid w:val="006519DB"/>
    <w:rsid w:val="006611A6"/>
    <w:rsid w:val="00662163"/>
    <w:rsid w:val="00665348"/>
    <w:rsid w:val="00666AAA"/>
    <w:rsid w:val="006702CE"/>
    <w:rsid w:val="006706D7"/>
    <w:rsid w:val="00671BEE"/>
    <w:rsid w:val="00673EC8"/>
    <w:rsid w:val="0068046A"/>
    <w:rsid w:val="00680AFF"/>
    <w:rsid w:val="00680F67"/>
    <w:rsid w:val="006822AE"/>
    <w:rsid w:val="00682458"/>
    <w:rsid w:val="00682C40"/>
    <w:rsid w:val="006846AE"/>
    <w:rsid w:val="006865D0"/>
    <w:rsid w:val="00691110"/>
    <w:rsid w:val="00692D71"/>
    <w:rsid w:val="00697D2C"/>
    <w:rsid w:val="006A1735"/>
    <w:rsid w:val="006B0743"/>
    <w:rsid w:val="006B0E50"/>
    <w:rsid w:val="006B0FEC"/>
    <w:rsid w:val="006B2E34"/>
    <w:rsid w:val="006B5959"/>
    <w:rsid w:val="006B669E"/>
    <w:rsid w:val="006B7C6B"/>
    <w:rsid w:val="006C52F0"/>
    <w:rsid w:val="006C63CC"/>
    <w:rsid w:val="006C7A11"/>
    <w:rsid w:val="006D1059"/>
    <w:rsid w:val="006D2AFC"/>
    <w:rsid w:val="006D3A05"/>
    <w:rsid w:val="006D44B5"/>
    <w:rsid w:val="006D4A80"/>
    <w:rsid w:val="006D4DD8"/>
    <w:rsid w:val="006D58C2"/>
    <w:rsid w:val="006D5AD8"/>
    <w:rsid w:val="006D5FD3"/>
    <w:rsid w:val="006E27B6"/>
    <w:rsid w:val="006E59F0"/>
    <w:rsid w:val="006F025B"/>
    <w:rsid w:val="006F061C"/>
    <w:rsid w:val="006F2F5E"/>
    <w:rsid w:val="006F727B"/>
    <w:rsid w:val="00700488"/>
    <w:rsid w:val="007009AC"/>
    <w:rsid w:val="00703592"/>
    <w:rsid w:val="0070444E"/>
    <w:rsid w:val="00704BDA"/>
    <w:rsid w:val="00707389"/>
    <w:rsid w:val="0071004B"/>
    <w:rsid w:val="00710B1C"/>
    <w:rsid w:val="00712845"/>
    <w:rsid w:val="007152E3"/>
    <w:rsid w:val="00715938"/>
    <w:rsid w:val="0071661B"/>
    <w:rsid w:val="00717C42"/>
    <w:rsid w:val="00717D92"/>
    <w:rsid w:val="007248DD"/>
    <w:rsid w:val="00725E9E"/>
    <w:rsid w:val="007305A0"/>
    <w:rsid w:val="007315E8"/>
    <w:rsid w:val="00735897"/>
    <w:rsid w:val="00735B1B"/>
    <w:rsid w:val="00736115"/>
    <w:rsid w:val="00737698"/>
    <w:rsid w:val="007407A6"/>
    <w:rsid w:val="00740C12"/>
    <w:rsid w:val="00740FE1"/>
    <w:rsid w:val="00743AAE"/>
    <w:rsid w:val="0075058D"/>
    <w:rsid w:val="00752686"/>
    <w:rsid w:val="00752FF9"/>
    <w:rsid w:val="00755E7F"/>
    <w:rsid w:val="007567C6"/>
    <w:rsid w:val="0075711D"/>
    <w:rsid w:val="00765B20"/>
    <w:rsid w:val="00767302"/>
    <w:rsid w:val="007729D0"/>
    <w:rsid w:val="0077359E"/>
    <w:rsid w:val="007750A4"/>
    <w:rsid w:val="00775147"/>
    <w:rsid w:val="007768E2"/>
    <w:rsid w:val="00776F8A"/>
    <w:rsid w:val="00777960"/>
    <w:rsid w:val="007846B7"/>
    <w:rsid w:val="00787DA3"/>
    <w:rsid w:val="0079795B"/>
    <w:rsid w:val="007A1853"/>
    <w:rsid w:val="007A1D57"/>
    <w:rsid w:val="007A1DB9"/>
    <w:rsid w:val="007A3479"/>
    <w:rsid w:val="007A3B32"/>
    <w:rsid w:val="007A750B"/>
    <w:rsid w:val="007B2B9F"/>
    <w:rsid w:val="007B4581"/>
    <w:rsid w:val="007B5BCB"/>
    <w:rsid w:val="007C04F6"/>
    <w:rsid w:val="007C0E73"/>
    <w:rsid w:val="007C16D5"/>
    <w:rsid w:val="007C4145"/>
    <w:rsid w:val="007C744A"/>
    <w:rsid w:val="007D3069"/>
    <w:rsid w:val="007D7DE2"/>
    <w:rsid w:val="007E1A36"/>
    <w:rsid w:val="007E70CD"/>
    <w:rsid w:val="007F002C"/>
    <w:rsid w:val="007F03BB"/>
    <w:rsid w:val="007F33F9"/>
    <w:rsid w:val="007F71F5"/>
    <w:rsid w:val="007F771D"/>
    <w:rsid w:val="00806100"/>
    <w:rsid w:val="008109A9"/>
    <w:rsid w:val="008125A9"/>
    <w:rsid w:val="008128C8"/>
    <w:rsid w:val="00814422"/>
    <w:rsid w:val="008164EF"/>
    <w:rsid w:val="0081708E"/>
    <w:rsid w:val="00820FAF"/>
    <w:rsid w:val="00821053"/>
    <w:rsid w:val="00835ABE"/>
    <w:rsid w:val="00836B21"/>
    <w:rsid w:val="00837E63"/>
    <w:rsid w:val="00841ECC"/>
    <w:rsid w:val="008430D0"/>
    <w:rsid w:val="008456DA"/>
    <w:rsid w:val="00845A4B"/>
    <w:rsid w:val="00846409"/>
    <w:rsid w:val="008517E7"/>
    <w:rsid w:val="00855968"/>
    <w:rsid w:val="00857991"/>
    <w:rsid w:val="00860899"/>
    <w:rsid w:val="00862EDA"/>
    <w:rsid w:val="0086432B"/>
    <w:rsid w:val="0087230B"/>
    <w:rsid w:val="0087342F"/>
    <w:rsid w:val="00873AB9"/>
    <w:rsid w:val="00873B10"/>
    <w:rsid w:val="00875C8D"/>
    <w:rsid w:val="00876183"/>
    <w:rsid w:val="00881844"/>
    <w:rsid w:val="00883205"/>
    <w:rsid w:val="00883617"/>
    <w:rsid w:val="00885597"/>
    <w:rsid w:val="00891865"/>
    <w:rsid w:val="00892536"/>
    <w:rsid w:val="00894E4D"/>
    <w:rsid w:val="0089546C"/>
    <w:rsid w:val="008967E4"/>
    <w:rsid w:val="00896CC5"/>
    <w:rsid w:val="008A0660"/>
    <w:rsid w:val="008A27E7"/>
    <w:rsid w:val="008A59BA"/>
    <w:rsid w:val="008A5AD0"/>
    <w:rsid w:val="008A7353"/>
    <w:rsid w:val="008B21B8"/>
    <w:rsid w:val="008B2F2D"/>
    <w:rsid w:val="008B41EC"/>
    <w:rsid w:val="008B65F3"/>
    <w:rsid w:val="008B6612"/>
    <w:rsid w:val="008B6D8D"/>
    <w:rsid w:val="008C008B"/>
    <w:rsid w:val="008C0ADA"/>
    <w:rsid w:val="008C0F9B"/>
    <w:rsid w:val="008C24B7"/>
    <w:rsid w:val="008C26C9"/>
    <w:rsid w:val="008C2917"/>
    <w:rsid w:val="008C30B6"/>
    <w:rsid w:val="008C3229"/>
    <w:rsid w:val="008C3945"/>
    <w:rsid w:val="008C7867"/>
    <w:rsid w:val="008C7975"/>
    <w:rsid w:val="008D1EC5"/>
    <w:rsid w:val="008D45E7"/>
    <w:rsid w:val="008D7ABD"/>
    <w:rsid w:val="008D7C36"/>
    <w:rsid w:val="008E2EA4"/>
    <w:rsid w:val="008E45FF"/>
    <w:rsid w:val="008E4AAC"/>
    <w:rsid w:val="008E5151"/>
    <w:rsid w:val="008F1BBD"/>
    <w:rsid w:val="008F2A98"/>
    <w:rsid w:val="008F2AF1"/>
    <w:rsid w:val="008F4DDA"/>
    <w:rsid w:val="008F556F"/>
    <w:rsid w:val="008F6F1E"/>
    <w:rsid w:val="008F72EA"/>
    <w:rsid w:val="008F77E7"/>
    <w:rsid w:val="00906DD3"/>
    <w:rsid w:val="0090710B"/>
    <w:rsid w:val="00912765"/>
    <w:rsid w:val="009127FF"/>
    <w:rsid w:val="0091562D"/>
    <w:rsid w:val="00920350"/>
    <w:rsid w:val="0092310F"/>
    <w:rsid w:val="009235F0"/>
    <w:rsid w:val="00927661"/>
    <w:rsid w:val="009308EA"/>
    <w:rsid w:val="00931241"/>
    <w:rsid w:val="00933415"/>
    <w:rsid w:val="0093455E"/>
    <w:rsid w:val="009354F0"/>
    <w:rsid w:val="009377C6"/>
    <w:rsid w:val="0094169F"/>
    <w:rsid w:val="009417D2"/>
    <w:rsid w:val="00942C51"/>
    <w:rsid w:val="009442CC"/>
    <w:rsid w:val="00944301"/>
    <w:rsid w:val="0094690F"/>
    <w:rsid w:val="00950295"/>
    <w:rsid w:val="009513FA"/>
    <w:rsid w:val="009516EF"/>
    <w:rsid w:val="00952231"/>
    <w:rsid w:val="009523D8"/>
    <w:rsid w:val="009534F6"/>
    <w:rsid w:val="009544AB"/>
    <w:rsid w:val="00954912"/>
    <w:rsid w:val="00954D03"/>
    <w:rsid w:val="00956D2A"/>
    <w:rsid w:val="009654C1"/>
    <w:rsid w:val="00965E0A"/>
    <w:rsid w:val="009700C8"/>
    <w:rsid w:val="00980FCE"/>
    <w:rsid w:val="00983391"/>
    <w:rsid w:val="009901A4"/>
    <w:rsid w:val="00992B67"/>
    <w:rsid w:val="00992E89"/>
    <w:rsid w:val="00993CB3"/>
    <w:rsid w:val="009946F9"/>
    <w:rsid w:val="00995E4A"/>
    <w:rsid w:val="00997069"/>
    <w:rsid w:val="00997C8F"/>
    <w:rsid w:val="009A032F"/>
    <w:rsid w:val="009A4706"/>
    <w:rsid w:val="009A5DA8"/>
    <w:rsid w:val="009A6A74"/>
    <w:rsid w:val="009B2691"/>
    <w:rsid w:val="009B2C33"/>
    <w:rsid w:val="009B435F"/>
    <w:rsid w:val="009C201B"/>
    <w:rsid w:val="009C22B7"/>
    <w:rsid w:val="009C2A95"/>
    <w:rsid w:val="009C3106"/>
    <w:rsid w:val="009C6260"/>
    <w:rsid w:val="009C7C8B"/>
    <w:rsid w:val="009D70C6"/>
    <w:rsid w:val="009E0781"/>
    <w:rsid w:val="009E4D3E"/>
    <w:rsid w:val="009F093B"/>
    <w:rsid w:val="009F2D15"/>
    <w:rsid w:val="009F37DD"/>
    <w:rsid w:val="009F43AC"/>
    <w:rsid w:val="009F442B"/>
    <w:rsid w:val="009F45EF"/>
    <w:rsid w:val="009F5A79"/>
    <w:rsid w:val="00A014B9"/>
    <w:rsid w:val="00A01881"/>
    <w:rsid w:val="00A0374E"/>
    <w:rsid w:val="00A04E72"/>
    <w:rsid w:val="00A058F2"/>
    <w:rsid w:val="00A102EE"/>
    <w:rsid w:val="00A10B51"/>
    <w:rsid w:val="00A17805"/>
    <w:rsid w:val="00A17BB4"/>
    <w:rsid w:val="00A2303E"/>
    <w:rsid w:val="00A24AE8"/>
    <w:rsid w:val="00A258DF"/>
    <w:rsid w:val="00A32134"/>
    <w:rsid w:val="00A348AE"/>
    <w:rsid w:val="00A34934"/>
    <w:rsid w:val="00A349C0"/>
    <w:rsid w:val="00A41979"/>
    <w:rsid w:val="00A42CA8"/>
    <w:rsid w:val="00A45E30"/>
    <w:rsid w:val="00A472B3"/>
    <w:rsid w:val="00A50EC0"/>
    <w:rsid w:val="00A52F20"/>
    <w:rsid w:val="00A56CE0"/>
    <w:rsid w:val="00A62815"/>
    <w:rsid w:val="00A63694"/>
    <w:rsid w:val="00A64DDA"/>
    <w:rsid w:val="00A660E9"/>
    <w:rsid w:val="00A67F07"/>
    <w:rsid w:val="00A72600"/>
    <w:rsid w:val="00A74BCF"/>
    <w:rsid w:val="00A75C52"/>
    <w:rsid w:val="00A7745F"/>
    <w:rsid w:val="00A913C2"/>
    <w:rsid w:val="00A9148D"/>
    <w:rsid w:val="00A944B2"/>
    <w:rsid w:val="00A964AF"/>
    <w:rsid w:val="00A96570"/>
    <w:rsid w:val="00A97759"/>
    <w:rsid w:val="00AA2A28"/>
    <w:rsid w:val="00AA2EAF"/>
    <w:rsid w:val="00AA301F"/>
    <w:rsid w:val="00AA3EE4"/>
    <w:rsid w:val="00AA73CE"/>
    <w:rsid w:val="00AA753C"/>
    <w:rsid w:val="00AB014B"/>
    <w:rsid w:val="00AB0A66"/>
    <w:rsid w:val="00AB1463"/>
    <w:rsid w:val="00AB3542"/>
    <w:rsid w:val="00AB3A9F"/>
    <w:rsid w:val="00AB4836"/>
    <w:rsid w:val="00AB5A89"/>
    <w:rsid w:val="00AB604D"/>
    <w:rsid w:val="00AB6577"/>
    <w:rsid w:val="00AC06B0"/>
    <w:rsid w:val="00AC433A"/>
    <w:rsid w:val="00AD057A"/>
    <w:rsid w:val="00AD10B9"/>
    <w:rsid w:val="00AD1649"/>
    <w:rsid w:val="00AD529C"/>
    <w:rsid w:val="00AE05B1"/>
    <w:rsid w:val="00AE33DB"/>
    <w:rsid w:val="00AE6E63"/>
    <w:rsid w:val="00AF09FF"/>
    <w:rsid w:val="00AF4403"/>
    <w:rsid w:val="00B00053"/>
    <w:rsid w:val="00B00988"/>
    <w:rsid w:val="00B0330A"/>
    <w:rsid w:val="00B03843"/>
    <w:rsid w:val="00B052C8"/>
    <w:rsid w:val="00B0645B"/>
    <w:rsid w:val="00B06A9C"/>
    <w:rsid w:val="00B072E7"/>
    <w:rsid w:val="00B073B4"/>
    <w:rsid w:val="00B07E69"/>
    <w:rsid w:val="00B104E2"/>
    <w:rsid w:val="00B130E8"/>
    <w:rsid w:val="00B13374"/>
    <w:rsid w:val="00B1462F"/>
    <w:rsid w:val="00B2209D"/>
    <w:rsid w:val="00B23617"/>
    <w:rsid w:val="00B26816"/>
    <w:rsid w:val="00B27D72"/>
    <w:rsid w:val="00B3306B"/>
    <w:rsid w:val="00B34467"/>
    <w:rsid w:val="00B36C19"/>
    <w:rsid w:val="00B37F8C"/>
    <w:rsid w:val="00B47F99"/>
    <w:rsid w:val="00B5158D"/>
    <w:rsid w:val="00B5732E"/>
    <w:rsid w:val="00B578BF"/>
    <w:rsid w:val="00B639EA"/>
    <w:rsid w:val="00B6796C"/>
    <w:rsid w:val="00B70798"/>
    <w:rsid w:val="00B801D0"/>
    <w:rsid w:val="00B8135D"/>
    <w:rsid w:val="00B81514"/>
    <w:rsid w:val="00B821CF"/>
    <w:rsid w:val="00B8355E"/>
    <w:rsid w:val="00B84278"/>
    <w:rsid w:val="00B86E95"/>
    <w:rsid w:val="00B91B3B"/>
    <w:rsid w:val="00B9545C"/>
    <w:rsid w:val="00B96389"/>
    <w:rsid w:val="00BA3EF6"/>
    <w:rsid w:val="00BA6906"/>
    <w:rsid w:val="00BB356E"/>
    <w:rsid w:val="00BB63A7"/>
    <w:rsid w:val="00BB63D7"/>
    <w:rsid w:val="00BB7604"/>
    <w:rsid w:val="00BC09FD"/>
    <w:rsid w:val="00BC1DD9"/>
    <w:rsid w:val="00BC27C4"/>
    <w:rsid w:val="00BC66D4"/>
    <w:rsid w:val="00BD14FA"/>
    <w:rsid w:val="00BD7F12"/>
    <w:rsid w:val="00BE2913"/>
    <w:rsid w:val="00BE37B0"/>
    <w:rsid w:val="00BE47D2"/>
    <w:rsid w:val="00BE4F51"/>
    <w:rsid w:val="00BE66A0"/>
    <w:rsid w:val="00BE67DB"/>
    <w:rsid w:val="00BE76E9"/>
    <w:rsid w:val="00BF07A9"/>
    <w:rsid w:val="00BF2085"/>
    <w:rsid w:val="00BF27AF"/>
    <w:rsid w:val="00BF2C05"/>
    <w:rsid w:val="00BF39FE"/>
    <w:rsid w:val="00BF3A96"/>
    <w:rsid w:val="00BF5280"/>
    <w:rsid w:val="00BF6EC0"/>
    <w:rsid w:val="00BF7FDD"/>
    <w:rsid w:val="00C019DC"/>
    <w:rsid w:val="00C03E3D"/>
    <w:rsid w:val="00C05D69"/>
    <w:rsid w:val="00C0724E"/>
    <w:rsid w:val="00C07631"/>
    <w:rsid w:val="00C104DD"/>
    <w:rsid w:val="00C12770"/>
    <w:rsid w:val="00C12E00"/>
    <w:rsid w:val="00C13AB4"/>
    <w:rsid w:val="00C14819"/>
    <w:rsid w:val="00C159FF"/>
    <w:rsid w:val="00C1781D"/>
    <w:rsid w:val="00C21FDD"/>
    <w:rsid w:val="00C2344E"/>
    <w:rsid w:val="00C237B7"/>
    <w:rsid w:val="00C27B52"/>
    <w:rsid w:val="00C35DD9"/>
    <w:rsid w:val="00C35F65"/>
    <w:rsid w:val="00C37FBD"/>
    <w:rsid w:val="00C409C2"/>
    <w:rsid w:val="00C40C30"/>
    <w:rsid w:val="00C418CE"/>
    <w:rsid w:val="00C4518E"/>
    <w:rsid w:val="00C50663"/>
    <w:rsid w:val="00C515F1"/>
    <w:rsid w:val="00C55EF7"/>
    <w:rsid w:val="00C5614B"/>
    <w:rsid w:val="00C56514"/>
    <w:rsid w:val="00C61548"/>
    <w:rsid w:val="00C64544"/>
    <w:rsid w:val="00C655B5"/>
    <w:rsid w:val="00C71A52"/>
    <w:rsid w:val="00C71BB0"/>
    <w:rsid w:val="00C75852"/>
    <w:rsid w:val="00C75D92"/>
    <w:rsid w:val="00C81A3C"/>
    <w:rsid w:val="00C8459A"/>
    <w:rsid w:val="00C85B09"/>
    <w:rsid w:val="00C86A65"/>
    <w:rsid w:val="00C907F2"/>
    <w:rsid w:val="00C932C4"/>
    <w:rsid w:val="00C9700E"/>
    <w:rsid w:val="00CA0E3F"/>
    <w:rsid w:val="00CA145F"/>
    <w:rsid w:val="00CA1594"/>
    <w:rsid w:val="00CA2115"/>
    <w:rsid w:val="00CA465E"/>
    <w:rsid w:val="00CA63B0"/>
    <w:rsid w:val="00CA6960"/>
    <w:rsid w:val="00CA752D"/>
    <w:rsid w:val="00CB0E38"/>
    <w:rsid w:val="00CB3D19"/>
    <w:rsid w:val="00CB41FB"/>
    <w:rsid w:val="00CB676A"/>
    <w:rsid w:val="00CC0181"/>
    <w:rsid w:val="00CC035A"/>
    <w:rsid w:val="00CC05FE"/>
    <w:rsid w:val="00CC0C20"/>
    <w:rsid w:val="00CC24E4"/>
    <w:rsid w:val="00CC28E4"/>
    <w:rsid w:val="00CC323F"/>
    <w:rsid w:val="00CC79DB"/>
    <w:rsid w:val="00CD0EA3"/>
    <w:rsid w:val="00CD269F"/>
    <w:rsid w:val="00CD3AF1"/>
    <w:rsid w:val="00CD5CAE"/>
    <w:rsid w:val="00CF2487"/>
    <w:rsid w:val="00CF5FE7"/>
    <w:rsid w:val="00D033C9"/>
    <w:rsid w:val="00D04178"/>
    <w:rsid w:val="00D0583E"/>
    <w:rsid w:val="00D102B5"/>
    <w:rsid w:val="00D13659"/>
    <w:rsid w:val="00D13C72"/>
    <w:rsid w:val="00D160E5"/>
    <w:rsid w:val="00D20AAB"/>
    <w:rsid w:val="00D218F6"/>
    <w:rsid w:val="00D254E4"/>
    <w:rsid w:val="00D311F2"/>
    <w:rsid w:val="00D31E06"/>
    <w:rsid w:val="00D321D1"/>
    <w:rsid w:val="00D3264E"/>
    <w:rsid w:val="00D3295B"/>
    <w:rsid w:val="00D32C47"/>
    <w:rsid w:val="00D349A9"/>
    <w:rsid w:val="00D34A63"/>
    <w:rsid w:val="00D34C14"/>
    <w:rsid w:val="00D43207"/>
    <w:rsid w:val="00D4413D"/>
    <w:rsid w:val="00D44E74"/>
    <w:rsid w:val="00D4611C"/>
    <w:rsid w:val="00D4621C"/>
    <w:rsid w:val="00D54D82"/>
    <w:rsid w:val="00D55A17"/>
    <w:rsid w:val="00D5707B"/>
    <w:rsid w:val="00D57A06"/>
    <w:rsid w:val="00D57D0F"/>
    <w:rsid w:val="00D625DD"/>
    <w:rsid w:val="00D65442"/>
    <w:rsid w:val="00D66F6E"/>
    <w:rsid w:val="00D72ED4"/>
    <w:rsid w:val="00D7401F"/>
    <w:rsid w:val="00D7433C"/>
    <w:rsid w:val="00D7460E"/>
    <w:rsid w:val="00D756CB"/>
    <w:rsid w:val="00D76057"/>
    <w:rsid w:val="00D76AE7"/>
    <w:rsid w:val="00D77F08"/>
    <w:rsid w:val="00D80214"/>
    <w:rsid w:val="00D803AD"/>
    <w:rsid w:val="00D80CD0"/>
    <w:rsid w:val="00D818EE"/>
    <w:rsid w:val="00D828C0"/>
    <w:rsid w:val="00D82C0F"/>
    <w:rsid w:val="00D84BD8"/>
    <w:rsid w:val="00D86B3D"/>
    <w:rsid w:val="00D878A8"/>
    <w:rsid w:val="00D93308"/>
    <w:rsid w:val="00D9391F"/>
    <w:rsid w:val="00D95132"/>
    <w:rsid w:val="00DA13E3"/>
    <w:rsid w:val="00DA3493"/>
    <w:rsid w:val="00DA67B7"/>
    <w:rsid w:val="00DB2AD0"/>
    <w:rsid w:val="00DB42BB"/>
    <w:rsid w:val="00DB6652"/>
    <w:rsid w:val="00DB7166"/>
    <w:rsid w:val="00DC28B3"/>
    <w:rsid w:val="00DC41A2"/>
    <w:rsid w:val="00DC5D1C"/>
    <w:rsid w:val="00DC6955"/>
    <w:rsid w:val="00DC7592"/>
    <w:rsid w:val="00DD0B0D"/>
    <w:rsid w:val="00DD5616"/>
    <w:rsid w:val="00DE024B"/>
    <w:rsid w:val="00DE0651"/>
    <w:rsid w:val="00DE0B16"/>
    <w:rsid w:val="00DE2C52"/>
    <w:rsid w:val="00DE6F3D"/>
    <w:rsid w:val="00DE7501"/>
    <w:rsid w:val="00DF0CB6"/>
    <w:rsid w:val="00DF2DD5"/>
    <w:rsid w:val="00DF31CA"/>
    <w:rsid w:val="00DF6DF3"/>
    <w:rsid w:val="00DF7729"/>
    <w:rsid w:val="00E01441"/>
    <w:rsid w:val="00E048CC"/>
    <w:rsid w:val="00E112A7"/>
    <w:rsid w:val="00E15F73"/>
    <w:rsid w:val="00E22DE5"/>
    <w:rsid w:val="00E245DB"/>
    <w:rsid w:val="00E30FDE"/>
    <w:rsid w:val="00E34AA0"/>
    <w:rsid w:val="00E3724B"/>
    <w:rsid w:val="00E407AB"/>
    <w:rsid w:val="00E41D99"/>
    <w:rsid w:val="00E4579A"/>
    <w:rsid w:val="00E46F16"/>
    <w:rsid w:val="00E5045C"/>
    <w:rsid w:val="00E517A3"/>
    <w:rsid w:val="00E533B1"/>
    <w:rsid w:val="00E551AC"/>
    <w:rsid w:val="00E55C2B"/>
    <w:rsid w:val="00E56B44"/>
    <w:rsid w:val="00E572C5"/>
    <w:rsid w:val="00E60DD3"/>
    <w:rsid w:val="00E65362"/>
    <w:rsid w:val="00E67237"/>
    <w:rsid w:val="00E70CD3"/>
    <w:rsid w:val="00E715B5"/>
    <w:rsid w:val="00E721CF"/>
    <w:rsid w:val="00E76634"/>
    <w:rsid w:val="00E77A0D"/>
    <w:rsid w:val="00E84DA2"/>
    <w:rsid w:val="00E85B3B"/>
    <w:rsid w:val="00E85F9A"/>
    <w:rsid w:val="00E86CCB"/>
    <w:rsid w:val="00E96ECE"/>
    <w:rsid w:val="00E97CC9"/>
    <w:rsid w:val="00EA1062"/>
    <w:rsid w:val="00EA1386"/>
    <w:rsid w:val="00EA631B"/>
    <w:rsid w:val="00EB1176"/>
    <w:rsid w:val="00EB25DC"/>
    <w:rsid w:val="00EB2FBC"/>
    <w:rsid w:val="00EB3042"/>
    <w:rsid w:val="00EB5B3F"/>
    <w:rsid w:val="00EB6022"/>
    <w:rsid w:val="00EB6EB2"/>
    <w:rsid w:val="00EC00ED"/>
    <w:rsid w:val="00EC1801"/>
    <w:rsid w:val="00EC25B3"/>
    <w:rsid w:val="00EC25B8"/>
    <w:rsid w:val="00ED2431"/>
    <w:rsid w:val="00ED2939"/>
    <w:rsid w:val="00ED4DFD"/>
    <w:rsid w:val="00EE2407"/>
    <w:rsid w:val="00EE2FFD"/>
    <w:rsid w:val="00EE70AF"/>
    <w:rsid w:val="00EF2477"/>
    <w:rsid w:val="00F01EF1"/>
    <w:rsid w:val="00F056C5"/>
    <w:rsid w:val="00F0623F"/>
    <w:rsid w:val="00F06F18"/>
    <w:rsid w:val="00F11045"/>
    <w:rsid w:val="00F1249F"/>
    <w:rsid w:val="00F141F2"/>
    <w:rsid w:val="00F14879"/>
    <w:rsid w:val="00F15641"/>
    <w:rsid w:val="00F15642"/>
    <w:rsid w:val="00F16A55"/>
    <w:rsid w:val="00F2008D"/>
    <w:rsid w:val="00F20E68"/>
    <w:rsid w:val="00F21C15"/>
    <w:rsid w:val="00F22CA2"/>
    <w:rsid w:val="00F22CC0"/>
    <w:rsid w:val="00F24ABF"/>
    <w:rsid w:val="00F3060C"/>
    <w:rsid w:val="00F317AF"/>
    <w:rsid w:val="00F340FD"/>
    <w:rsid w:val="00F361CC"/>
    <w:rsid w:val="00F37B21"/>
    <w:rsid w:val="00F416C7"/>
    <w:rsid w:val="00F4290C"/>
    <w:rsid w:val="00F4363B"/>
    <w:rsid w:val="00F438EB"/>
    <w:rsid w:val="00F47D9F"/>
    <w:rsid w:val="00F535A2"/>
    <w:rsid w:val="00F57C40"/>
    <w:rsid w:val="00F612BE"/>
    <w:rsid w:val="00F62B34"/>
    <w:rsid w:val="00F63BD1"/>
    <w:rsid w:val="00F653CC"/>
    <w:rsid w:val="00F72C3B"/>
    <w:rsid w:val="00F7308E"/>
    <w:rsid w:val="00F73767"/>
    <w:rsid w:val="00F73C54"/>
    <w:rsid w:val="00F76D17"/>
    <w:rsid w:val="00F77B4C"/>
    <w:rsid w:val="00F77DE1"/>
    <w:rsid w:val="00F85376"/>
    <w:rsid w:val="00F85D92"/>
    <w:rsid w:val="00F90B25"/>
    <w:rsid w:val="00F95690"/>
    <w:rsid w:val="00F956FF"/>
    <w:rsid w:val="00FA0D57"/>
    <w:rsid w:val="00FA6A6D"/>
    <w:rsid w:val="00FB3570"/>
    <w:rsid w:val="00FB37E8"/>
    <w:rsid w:val="00FB45D2"/>
    <w:rsid w:val="00FB52AC"/>
    <w:rsid w:val="00FB62BB"/>
    <w:rsid w:val="00FB6CE4"/>
    <w:rsid w:val="00FC0570"/>
    <w:rsid w:val="00FC1E88"/>
    <w:rsid w:val="00FC396D"/>
    <w:rsid w:val="00FC397F"/>
    <w:rsid w:val="00FC5833"/>
    <w:rsid w:val="00FD05F3"/>
    <w:rsid w:val="00FD2D64"/>
    <w:rsid w:val="00FD300F"/>
    <w:rsid w:val="00FD63EB"/>
    <w:rsid w:val="00FD6BFD"/>
    <w:rsid w:val="00FD6C80"/>
    <w:rsid w:val="00FD7C53"/>
    <w:rsid w:val="00FE0987"/>
    <w:rsid w:val="00FE5CDF"/>
    <w:rsid w:val="00FF557B"/>
    <w:rsid w:val="00FF5C66"/>
    <w:rsid w:val="00FF7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3BD595E"/>
  <w15:docId w15:val="{D1204BB2-2510-48C9-9EDB-8291CFA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6B"/>
    <w:pPr>
      <w:spacing w:after="120"/>
    </w:pPr>
    <w:rPr>
      <w:rFonts w:ascii="Arial" w:hAnsi="Arial"/>
      <w:szCs w:val="24"/>
      <w:lang w:eastAsia="en-US"/>
    </w:rPr>
  </w:style>
  <w:style w:type="paragraph" w:styleId="Heading1">
    <w:name w:val="heading 1"/>
    <w:basedOn w:val="Normal"/>
    <w:next w:val="Normal"/>
    <w:link w:val="Heading1Char"/>
    <w:uiPriority w:val="99"/>
    <w:qFormat/>
    <w:rsid w:val="00246AC6"/>
    <w:pPr>
      <w:keepNext/>
      <w:numPr>
        <w:numId w:val="6"/>
      </w:numPr>
      <w:spacing w:before="240"/>
      <w:outlineLvl w:val="0"/>
    </w:pPr>
    <w:rPr>
      <w:rFonts w:cs="Arial"/>
      <w:b/>
      <w:sz w:val="28"/>
      <w:szCs w:val="20"/>
    </w:rPr>
  </w:style>
  <w:style w:type="paragraph" w:styleId="Heading2">
    <w:name w:val="heading 2"/>
    <w:basedOn w:val="Normal"/>
    <w:next w:val="Normal"/>
    <w:link w:val="Heading2Char"/>
    <w:uiPriority w:val="99"/>
    <w:qFormat/>
    <w:rsid w:val="00246AC6"/>
    <w:pPr>
      <w:keepNext/>
      <w:widowControl w:val="0"/>
      <w:numPr>
        <w:ilvl w:val="1"/>
        <w:numId w:val="6"/>
      </w:numPr>
      <w:overflowPunct w:val="0"/>
      <w:autoSpaceDE w:val="0"/>
      <w:autoSpaceDN w:val="0"/>
      <w:adjustRightInd w:val="0"/>
      <w:spacing w:before="240"/>
      <w:textAlignment w:val="baseline"/>
      <w:outlineLvl w:val="1"/>
    </w:pPr>
    <w:rPr>
      <w:rFonts w:cs="Arial"/>
      <w:b/>
      <w:bCs/>
      <w:i/>
      <w:iCs/>
      <w:szCs w:val="28"/>
    </w:rPr>
  </w:style>
  <w:style w:type="paragraph" w:styleId="Heading3">
    <w:name w:val="heading 3"/>
    <w:basedOn w:val="Normal"/>
    <w:next w:val="Normal"/>
    <w:link w:val="Heading3Char"/>
    <w:uiPriority w:val="99"/>
    <w:qFormat/>
    <w:rsid w:val="0046576B"/>
    <w:pPr>
      <w:keepNext/>
      <w:keepLines/>
      <w:numPr>
        <w:ilvl w:val="2"/>
        <w:numId w:val="6"/>
      </w:numPr>
      <w:spacing w:before="120"/>
      <w:jc w:val="both"/>
      <w:outlineLvl w:val="2"/>
    </w:pPr>
    <w:rPr>
      <w:bCs/>
    </w:rPr>
  </w:style>
  <w:style w:type="paragraph" w:styleId="Heading4">
    <w:name w:val="heading 4"/>
    <w:basedOn w:val="Normal"/>
    <w:next w:val="Normal"/>
    <w:link w:val="Heading4Char"/>
    <w:uiPriority w:val="99"/>
    <w:qFormat/>
    <w:rsid w:val="00B073B4"/>
    <w:pPr>
      <w:keepNext/>
      <w:keepLines/>
      <w:numPr>
        <w:ilvl w:val="3"/>
        <w:numId w:val="6"/>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B073B4"/>
    <w:pPr>
      <w:keepNext/>
      <w:keepLines/>
      <w:numPr>
        <w:ilvl w:val="4"/>
        <w:numId w:val="6"/>
      </w:numPr>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246AC6"/>
    <w:pPr>
      <w:keepNext/>
      <w:keepLines/>
      <w:numPr>
        <w:ilvl w:val="5"/>
        <w:numId w:val="6"/>
      </w:numPr>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246AC6"/>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246AC6"/>
    <w:pPr>
      <w:keepNext/>
      <w:keepLines/>
      <w:numPr>
        <w:ilvl w:val="7"/>
        <w:numId w:val="6"/>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246AC6"/>
    <w:pPr>
      <w:keepNext/>
      <w:keepLines/>
      <w:numPr>
        <w:ilvl w:val="8"/>
        <w:numId w:val="6"/>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3E3"/>
    <w:rPr>
      <w:rFonts w:ascii="Arial" w:hAnsi="Arial" w:cs="Arial"/>
      <w:b/>
      <w:sz w:val="28"/>
      <w:lang w:val="en-GB" w:eastAsia="en-US" w:bidi="ar-SA"/>
    </w:rPr>
  </w:style>
  <w:style w:type="character" w:customStyle="1" w:styleId="Heading2Char">
    <w:name w:val="Heading 2 Char"/>
    <w:basedOn w:val="DefaultParagraphFont"/>
    <w:link w:val="Heading2"/>
    <w:uiPriority w:val="99"/>
    <w:semiHidden/>
    <w:locked/>
    <w:rsid w:val="00DA13E3"/>
    <w:rPr>
      <w:rFonts w:ascii="Arial" w:hAnsi="Arial" w:cs="Arial"/>
      <w:b/>
      <w:bCs/>
      <w:i/>
      <w:iCs/>
      <w:sz w:val="28"/>
      <w:szCs w:val="28"/>
      <w:lang w:val="en-GB" w:eastAsia="en-US" w:bidi="ar-SA"/>
    </w:rPr>
  </w:style>
  <w:style w:type="character" w:customStyle="1" w:styleId="Heading3Char">
    <w:name w:val="Heading 3 Char"/>
    <w:basedOn w:val="DefaultParagraphFont"/>
    <w:link w:val="Heading3"/>
    <w:uiPriority w:val="99"/>
    <w:locked/>
    <w:rsid w:val="0046576B"/>
    <w:rPr>
      <w:rFonts w:ascii="Arial" w:hAnsi="Arial" w:cs="Times New Roman"/>
      <w:bCs/>
      <w:sz w:val="24"/>
      <w:szCs w:val="24"/>
      <w:lang w:val="en-GB" w:eastAsia="en-US" w:bidi="ar-SA"/>
    </w:rPr>
  </w:style>
  <w:style w:type="character" w:customStyle="1" w:styleId="Heading4Char">
    <w:name w:val="Heading 4 Char"/>
    <w:basedOn w:val="DefaultParagraphFont"/>
    <w:link w:val="Heading4"/>
    <w:uiPriority w:val="99"/>
    <w:semiHidden/>
    <w:locked/>
    <w:rsid w:val="00B073B4"/>
    <w:rPr>
      <w:rFonts w:ascii="Cambria" w:hAnsi="Cambria" w:cs="Times New Roman"/>
      <w:b/>
      <w:bCs/>
      <w:i/>
      <w:iCs/>
      <w:color w:val="4F81BD"/>
      <w:sz w:val="24"/>
      <w:szCs w:val="24"/>
      <w:lang w:val="en-GB" w:eastAsia="en-US" w:bidi="ar-SA"/>
    </w:rPr>
  </w:style>
  <w:style w:type="character" w:customStyle="1" w:styleId="Heading5Char">
    <w:name w:val="Heading 5 Char"/>
    <w:basedOn w:val="DefaultParagraphFont"/>
    <w:link w:val="Heading5"/>
    <w:uiPriority w:val="99"/>
    <w:semiHidden/>
    <w:locked/>
    <w:rsid w:val="00B073B4"/>
    <w:rPr>
      <w:rFonts w:ascii="Cambria" w:hAnsi="Cambria" w:cs="Times New Roman"/>
      <w:color w:val="243F60"/>
      <w:sz w:val="24"/>
      <w:szCs w:val="24"/>
      <w:lang w:val="en-GB" w:eastAsia="en-US" w:bidi="ar-SA"/>
    </w:rPr>
  </w:style>
  <w:style w:type="character" w:customStyle="1" w:styleId="Heading6Char">
    <w:name w:val="Heading 6 Char"/>
    <w:basedOn w:val="DefaultParagraphFont"/>
    <w:link w:val="Heading6"/>
    <w:uiPriority w:val="99"/>
    <w:semiHidden/>
    <w:locked/>
    <w:rsid w:val="00246AC6"/>
    <w:rPr>
      <w:rFonts w:ascii="Cambria" w:hAnsi="Cambria" w:cs="Times New Roman"/>
      <w:i/>
      <w:iCs/>
      <w:color w:val="243F60"/>
      <w:sz w:val="24"/>
      <w:szCs w:val="24"/>
      <w:lang w:val="en-GB" w:eastAsia="en-US" w:bidi="ar-SA"/>
    </w:rPr>
  </w:style>
  <w:style w:type="character" w:customStyle="1" w:styleId="Heading7Char">
    <w:name w:val="Heading 7 Char"/>
    <w:basedOn w:val="DefaultParagraphFont"/>
    <w:link w:val="Heading7"/>
    <w:uiPriority w:val="99"/>
    <w:semiHidden/>
    <w:locked/>
    <w:rsid w:val="00246AC6"/>
    <w:rPr>
      <w:rFonts w:ascii="Cambria" w:hAnsi="Cambria" w:cs="Times New Roman"/>
      <w:i/>
      <w:iCs/>
      <w:color w:val="404040"/>
      <w:sz w:val="24"/>
      <w:szCs w:val="24"/>
      <w:lang w:val="en-GB" w:eastAsia="en-US" w:bidi="ar-SA"/>
    </w:rPr>
  </w:style>
  <w:style w:type="character" w:customStyle="1" w:styleId="Heading8Char">
    <w:name w:val="Heading 8 Char"/>
    <w:basedOn w:val="DefaultParagraphFont"/>
    <w:link w:val="Heading8"/>
    <w:uiPriority w:val="99"/>
    <w:semiHidden/>
    <w:locked/>
    <w:rsid w:val="00246AC6"/>
    <w:rPr>
      <w:rFonts w:ascii="Cambria" w:hAnsi="Cambria" w:cs="Times New Roman"/>
      <w:color w:val="404040"/>
      <w:lang w:val="en-GB" w:eastAsia="en-US" w:bidi="ar-SA"/>
    </w:rPr>
  </w:style>
  <w:style w:type="character" w:customStyle="1" w:styleId="Heading9Char">
    <w:name w:val="Heading 9 Char"/>
    <w:basedOn w:val="DefaultParagraphFont"/>
    <w:link w:val="Heading9"/>
    <w:uiPriority w:val="99"/>
    <w:semiHidden/>
    <w:locked/>
    <w:rsid w:val="00246AC6"/>
    <w:rPr>
      <w:rFonts w:ascii="Cambria" w:hAnsi="Cambria" w:cs="Times New Roman"/>
      <w:i/>
      <w:iCs/>
      <w:color w:val="404040"/>
      <w:lang w:val="en-GB" w:eastAsia="en-US" w:bidi="ar-SA"/>
    </w:rPr>
  </w:style>
  <w:style w:type="table" w:styleId="TableGrid">
    <w:name w:val="Table Grid"/>
    <w:basedOn w:val="TableNormal"/>
    <w:uiPriority w:val="99"/>
    <w:rsid w:val="00391F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7F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3E3"/>
    <w:rPr>
      <w:rFonts w:cs="Times New Roman"/>
      <w:sz w:val="2"/>
      <w:lang w:eastAsia="en-US"/>
    </w:rPr>
  </w:style>
  <w:style w:type="character" w:styleId="Strong">
    <w:name w:val="Strong"/>
    <w:basedOn w:val="DefaultParagraphFont"/>
    <w:uiPriority w:val="99"/>
    <w:qFormat/>
    <w:rsid w:val="0070444E"/>
    <w:rPr>
      <w:rFonts w:ascii="Arial" w:hAnsi="Arial" w:cs="Times New Roman"/>
      <w:b/>
      <w:sz w:val="28"/>
    </w:rPr>
  </w:style>
  <w:style w:type="paragraph" w:styleId="Footer">
    <w:name w:val="footer"/>
    <w:basedOn w:val="Normal"/>
    <w:link w:val="FooterChar"/>
    <w:uiPriority w:val="99"/>
    <w:rsid w:val="00C4518E"/>
    <w:pPr>
      <w:tabs>
        <w:tab w:val="left" w:pos="0"/>
      </w:tabs>
      <w:suppressAutoHyphens/>
      <w:jc w:val="both"/>
    </w:pPr>
    <w:rPr>
      <w:rFonts w:ascii="Kino MT" w:hAnsi="Kino MT"/>
      <w:spacing w:val="-2"/>
      <w:sz w:val="21"/>
      <w:szCs w:val="20"/>
    </w:rPr>
  </w:style>
  <w:style w:type="character" w:customStyle="1" w:styleId="FooterChar">
    <w:name w:val="Footer Char"/>
    <w:basedOn w:val="DefaultParagraphFont"/>
    <w:link w:val="Footer"/>
    <w:uiPriority w:val="99"/>
    <w:locked/>
    <w:rsid w:val="004602D7"/>
    <w:rPr>
      <w:rFonts w:ascii="Kino MT" w:hAnsi="Kino MT" w:cs="Times New Roman"/>
      <w:spacing w:val="-2"/>
      <w:sz w:val="21"/>
      <w:lang w:eastAsia="en-US"/>
    </w:rPr>
  </w:style>
  <w:style w:type="paragraph" w:styleId="Header">
    <w:name w:val="header"/>
    <w:basedOn w:val="Normal"/>
    <w:link w:val="HeaderChar"/>
    <w:uiPriority w:val="99"/>
    <w:rsid w:val="00C4518E"/>
    <w:pPr>
      <w:tabs>
        <w:tab w:val="left" w:pos="0"/>
        <w:tab w:val="center" w:pos="4152"/>
        <w:tab w:val="right" w:pos="8305"/>
        <w:tab w:val="left" w:pos="8640"/>
      </w:tabs>
      <w:suppressAutoHyphens/>
      <w:jc w:val="both"/>
    </w:pPr>
    <w:rPr>
      <w:spacing w:val="-2"/>
      <w:szCs w:val="20"/>
    </w:rPr>
  </w:style>
  <w:style w:type="character" w:customStyle="1" w:styleId="HeaderChar">
    <w:name w:val="Header Char"/>
    <w:basedOn w:val="DefaultParagraphFont"/>
    <w:link w:val="Header"/>
    <w:uiPriority w:val="99"/>
    <w:semiHidden/>
    <w:locked/>
    <w:rsid w:val="00DA13E3"/>
    <w:rPr>
      <w:rFonts w:ascii="Arial" w:hAnsi="Arial" w:cs="Times New Roman"/>
      <w:sz w:val="24"/>
      <w:szCs w:val="24"/>
      <w:lang w:eastAsia="en-US"/>
    </w:rPr>
  </w:style>
  <w:style w:type="character" w:styleId="PageNumber">
    <w:name w:val="page number"/>
    <w:basedOn w:val="DefaultParagraphFont"/>
    <w:uiPriority w:val="99"/>
    <w:rsid w:val="00C4518E"/>
    <w:rPr>
      <w:rFonts w:cs="Times New Roman"/>
    </w:rPr>
  </w:style>
  <w:style w:type="character" w:styleId="CommentReference">
    <w:name w:val="annotation reference"/>
    <w:basedOn w:val="DefaultParagraphFont"/>
    <w:uiPriority w:val="99"/>
    <w:semiHidden/>
    <w:rsid w:val="002F6C70"/>
    <w:rPr>
      <w:rFonts w:cs="Times New Roman"/>
      <w:sz w:val="16"/>
    </w:rPr>
  </w:style>
  <w:style w:type="paragraph" w:styleId="CommentText">
    <w:name w:val="annotation text"/>
    <w:basedOn w:val="Normal"/>
    <w:link w:val="CommentTextChar"/>
    <w:uiPriority w:val="99"/>
    <w:semiHidden/>
    <w:rsid w:val="002F6C70"/>
    <w:rPr>
      <w:sz w:val="20"/>
      <w:szCs w:val="20"/>
    </w:rPr>
  </w:style>
  <w:style w:type="character" w:customStyle="1" w:styleId="CommentTextChar">
    <w:name w:val="Comment Text Char"/>
    <w:basedOn w:val="DefaultParagraphFont"/>
    <w:link w:val="CommentText"/>
    <w:uiPriority w:val="99"/>
    <w:semiHidden/>
    <w:locked/>
    <w:rsid w:val="00DA13E3"/>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2F6C70"/>
    <w:rPr>
      <w:b/>
      <w:bCs/>
    </w:rPr>
  </w:style>
  <w:style w:type="character" w:customStyle="1" w:styleId="CommentSubjectChar">
    <w:name w:val="Comment Subject Char"/>
    <w:basedOn w:val="CommentTextChar"/>
    <w:link w:val="CommentSubject"/>
    <w:uiPriority w:val="99"/>
    <w:semiHidden/>
    <w:locked/>
    <w:rsid w:val="00DA13E3"/>
    <w:rPr>
      <w:rFonts w:ascii="Arial" w:hAnsi="Arial" w:cs="Times New Roman"/>
      <w:b/>
      <w:bCs/>
      <w:sz w:val="20"/>
      <w:szCs w:val="20"/>
      <w:lang w:eastAsia="en-US"/>
    </w:rPr>
  </w:style>
  <w:style w:type="paragraph" w:styleId="NormalWeb">
    <w:name w:val="Normal (Web)"/>
    <w:basedOn w:val="Normal"/>
    <w:uiPriority w:val="99"/>
    <w:rsid w:val="003E3DBC"/>
    <w:pPr>
      <w:spacing w:before="100" w:beforeAutospacing="1" w:after="100" w:afterAutospacing="1"/>
    </w:pPr>
    <w:rPr>
      <w:lang w:eastAsia="en-GB"/>
    </w:rPr>
  </w:style>
  <w:style w:type="paragraph" w:styleId="BodyText">
    <w:name w:val="Body Text"/>
    <w:basedOn w:val="Normal"/>
    <w:link w:val="BodyTextChar"/>
    <w:uiPriority w:val="99"/>
    <w:rsid w:val="000D0FC5"/>
    <w:rPr>
      <w:sz w:val="21"/>
      <w:szCs w:val="20"/>
    </w:rPr>
  </w:style>
  <w:style w:type="character" w:customStyle="1" w:styleId="BodyTextChar">
    <w:name w:val="Body Text Char"/>
    <w:basedOn w:val="DefaultParagraphFont"/>
    <w:link w:val="BodyText"/>
    <w:uiPriority w:val="99"/>
    <w:semiHidden/>
    <w:locked/>
    <w:rsid w:val="00DA13E3"/>
    <w:rPr>
      <w:rFonts w:ascii="Arial" w:hAnsi="Arial" w:cs="Times New Roman"/>
      <w:sz w:val="24"/>
      <w:szCs w:val="24"/>
      <w:lang w:eastAsia="en-US"/>
    </w:rPr>
  </w:style>
  <w:style w:type="paragraph" w:customStyle="1" w:styleId="BodyText1">
    <w:name w:val="Body Text1"/>
    <w:basedOn w:val="Normal"/>
    <w:uiPriority w:val="99"/>
    <w:rsid w:val="00862EDA"/>
    <w:pPr>
      <w:widowControl w:val="0"/>
      <w:overflowPunct w:val="0"/>
      <w:autoSpaceDE w:val="0"/>
      <w:autoSpaceDN w:val="0"/>
      <w:adjustRightInd w:val="0"/>
      <w:spacing w:line="300" w:lineRule="atLeast"/>
      <w:jc w:val="both"/>
      <w:textAlignment w:val="baseline"/>
    </w:pPr>
    <w:rPr>
      <w:rFonts w:ascii="Perpetua" w:hAnsi="Perpetua"/>
      <w:szCs w:val="20"/>
    </w:rPr>
  </w:style>
  <w:style w:type="paragraph" w:customStyle="1" w:styleId="Subhead1">
    <w:name w:val="Subhead 1"/>
    <w:basedOn w:val="Normal"/>
    <w:uiPriority w:val="99"/>
    <w:rsid w:val="00862ED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textAlignment w:val="baseline"/>
    </w:pPr>
    <w:rPr>
      <w:rFonts w:ascii="Perpetua" w:hAnsi="Perpetua"/>
      <w:b/>
      <w:sz w:val="48"/>
      <w:szCs w:val="20"/>
    </w:rPr>
  </w:style>
  <w:style w:type="paragraph" w:customStyle="1" w:styleId="Subhead2">
    <w:name w:val="Subhead 2"/>
    <w:basedOn w:val="Normal"/>
    <w:next w:val="Normal"/>
    <w:uiPriority w:val="99"/>
    <w:rsid w:val="00862ED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jc w:val="both"/>
      <w:textAlignment w:val="baseline"/>
    </w:pPr>
    <w:rPr>
      <w:sz w:val="36"/>
      <w:szCs w:val="20"/>
    </w:rPr>
  </w:style>
  <w:style w:type="paragraph" w:customStyle="1" w:styleId="Subhead3">
    <w:name w:val="Subhead 3"/>
    <w:basedOn w:val="BodyText1"/>
    <w:next w:val="BodyText1"/>
    <w:uiPriority w:val="99"/>
    <w:rsid w:val="00862EDA"/>
    <w:rPr>
      <w:b/>
      <w:sz w:val="28"/>
    </w:rPr>
  </w:style>
  <w:style w:type="paragraph" w:customStyle="1" w:styleId="Indentedtext">
    <w:name w:val="Indented text"/>
    <w:basedOn w:val="BodyText1"/>
    <w:next w:val="BodyText1"/>
    <w:uiPriority w:val="99"/>
    <w:rsid w:val="00862EDA"/>
    <w:pPr>
      <w:tabs>
        <w:tab w:val="left" w:pos="454"/>
      </w:tabs>
      <w:ind w:left="453" w:hanging="453"/>
    </w:pPr>
  </w:style>
  <w:style w:type="paragraph" w:styleId="BodyTextIndent">
    <w:name w:val="Body Text Indent"/>
    <w:basedOn w:val="Normal"/>
    <w:link w:val="BodyTextIndentChar"/>
    <w:uiPriority w:val="99"/>
    <w:rsid w:val="00862EDA"/>
    <w:pPr>
      <w:widowControl w:val="0"/>
      <w:overflowPunct w:val="0"/>
      <w:autoSpaceDE w:val="0"/>
      <w:autoSpaceDN w:val="0"/>
      <w:adjustRightInd w:val="0"/>
      <w:spacing w:line="288" w:lineRule="exact"/>
      <w:ind w:left="720" w:hanging="720"/>
      <w:jc w:val="both"/>
      <w:textAlignment w:val="baseline"/>
    </w:pPr>
    <w:rPr>
      <w:rFonts w:ascii="Gill Sans MT" w:hAnsi="Gill Sans MT"/>
      <w:b/>
      <w:bCs/>
      <w:i/>
      <w:iCs/>
      <w:szCs w:val="20"/>
    </w:rPr>
  </w:style>
  <w:style w:type="character" w:customStyle="1" w:styleId="BodyTextIndentChar">
    <w:name w:val="Body Text Indent Char"/>
    <w:basedOn w:val="DefaultParagraphFont"/>
    <w:link w:val="BodyTextIndent"/>
    <w:uiPriority w:val="99"/>
    <w:semiHidden/>
    <w:locked/>
    <w:rsid w:val="00DA13E3"/>
    <w:rPr>
      <w:rFonts w:ascii="Arial" w:hAnsi="Arial" w:cs="Times New Roman"/>
      <w:sz w:val="24"/>
      <w:szCs w:val="24"/>
      <w:lang w:eastAsia="en-US"/>
    </w:rPr>
  </w:style>
  <w:style w:type="paragraph" w:styleId="BodyTextIndent2">
    <w:name w:val="Body Text Indent 2"/>
    <w:basedOn w:val="Normal"/>
    <w:link w:val="BodyTextIndent2Char"/>
    <w:uiPriority w:val="99"/>
    <w:rsid w:val="00862EDA"/>
    <w:pPr>
      <w:widowControl w:val="0"/>
      <w:overflowPunct w:val="0"/>
      <w:autoSpaceDE w:val="0"/>
      <w:autoSpaceDN w:val="0"/>
      <w:adjustRightInd w:val="0"/>
      <w:spacing w:line="288" w:lineRule="exact"/>
      <w:ind w:left="720" w:hanging="720"/>
      <w:jc w:val="both"/>
      <w:textAlignment w:val="baseline"/>
    </w:pPr>
    <w:rPr>
      <w:rFonts w:ascii="Gill Sans MT" w:hAnsi="Gill Sans MT"/>
      <w:szCs w:val="20"/>
    </w:rPr>
  </w:style>
  <w:style w:type="character" w:customStyle="1" w:styleId="BodyTextIndent2Char">
    <w:name w:val="Body Text Indent 2 Char"/>
    <w:basedOn w:val="DefaultParagraphFont"/>
    <w:link w:val="BodyTextIndent2"/>
    <w:uiPriority w:val="99"/>
    <w:semiHidden/>
    <w:locked/>
    <w:rsid w:val="00DA13E3"/>
    <w:rPr>
      <w:rFonts w:ascii="Arial" w:hAnsi="Arial" w:cs="Times New Roman"/>
      <w:sz w:val="24"/>
      <w:szCs w:val="24"/>
      <w:lang w:eastAsia="en-US"/>
    </w:rPr>
  </w:style>
  <w:style w:type="paragraph" w:customStyle="1" w:styleId="Body">
    <w:name w:val="Body"/>
    <w:basedOn w:val="Normal"/>
    <w:link w:val="BodyChar"/>
    <w:uiPriority w:val="99"/>
    <w:rsid w:val="00862EDA"/>
    <w:pPr>
      <w:widowControl w:val="0"/>
      <w:tabs>
        <w:tab w:val="left" w:pos="567"/>
      </w:tabs>
      <w:autoSpaceDE w:val="0"/>
      <w:autoSpaceDN w:val="0"/>
      <w:adjustRightInd w:val="0"/>
      <w:spacing w:before="280" w:line="300" w:lineRule="atLeast"/>
      <w:ind w:left="567" w:hanging="567"/>
      <w:textAlignment w:val="baseline"/>
    </w:pPr>
    <w:rPr>
      <w:color w:val="000000"/>
      <w:szCs w:val="20"/>
      <w:lang w:val="en-US"/>
    </w:rPr>
  </w:style>
  <w:style w:type="character" w:customStyle="1" w:styleId="BodyChar">
    <w:name w:val="Body Char"/>
    <w:link w:val="Body"/>
    <w:uiPriority w:val="99"/>
    <w:locked/>
    <w:rsid w:val="00862EDA"/>
    <w:rPr>
      <w:rFonts w:ascii="Arial" w:hAnsi="Arial"/>
      <w:color w:val="000000"/>
      <w:sz w:val="22"/>
      <w:lang w:val="en-US" w:eastAsia="en-US"/>
    </w:rPr>
  </w:style>
  <w:style w:type="paragraph" w:customStyle="1" w:styleId="Bullets">
    <w:name w:val="Bullets"/>
    <w:basedOn w:val="Normal"/>
    <w:uiPriority w:val="99"/>
    <w:rsid w:val="00862EDA"/>
    <w:pPr>
      <w:widowControl w:val="0"/>
      <w:autoSpaceDE w:val="0"/>
      <w:autoSpaceDN w:val="0"/>
      <w:adjustRightInd w:val="0"/>
      <w:spacing w:before="70" w:line="300" w:lineRule="atLeast"/>
      <w:ind w:left="1020" w:hanging="454"/>
      <w:textAlignment w:val="baseline"/>
    </w:pPr>
    <w:rPr>
      <w:color w:val="000000"/>
      <w:szCs w:val="22"/>
      <w:lang w:val="en-US"/>
    </w:rPr>
  </w:style>
  <w:style w:type="paragraph" w:customStyle="1" w:styleId="Footnote1">
    <w:name w:val="Footnote 1"/>
    <w:basedOn w:val="Body"/>
    <w:uiPriority w:val="99"/>
    <w:rsid w:val="00862EDA"/>
    <w:pPr>
      <w:spacing w:before="40" w:line="240" w:lineRule="atLeast"/>
    </w:pPr>
    <w:rPr>
      <w:rFonts w:cs="Arial"/>
      <w:color w:val="000080"/>
      <w:sz w:val="16"/>
      <w:szCs w:val="16"/>
    </w:rPr>
  </w:style>
  <w:style w:type="paragraph" w:customStyle="1" w:styleId="Bodynoindent">
    <w:name w:val="Body no indent"/>
    <w:basedOn w:val="Normal"/>
    <w:uiPriority w:val="99"/>
    <w:rsid w:val="00862EDA"/>
    <w:pPr>
      <w:keepLines/>
      <w:widowControl w:val="0"/>
      <w:autoSpaceDE w:val="0"/>
      <w:autoSpaceDN w:val="0"/>
      <w:adjustRightInd w:val="0"/>
      <w:spacing w:before="150" w:line="300" w:lineRule="atLeast"/>
      <w:ind w:left="567"/>
      <w:textAlignment w:val="baseline"/>
    </w:pPr>
    <w:rPr>
      <w:color w:val="000000"/>
      <w:szCs w:val="22"/>
      <w:lang w:val="en-US"/>
    </w:rPr>
  </w:style>
  <w:style w:type="paragraph" w:customStyle="1" w:styleId="Bodysecond">
    <w:name w:val="Body second"/>
    <w:basedOn w:val="Body"/>
    <w:uiPriority w:val="99"/>
    <w:rsid w:val="00862EDA"/>
    <w:pPr>
      <w:tabs>
        <w:tab w:val="left" w:pos="1134"/>
      </w:tabs>
      <w:ind w:left="1134" w:hanging="1134"/>
    </w:pPr>
    <w:rPr>
      <w:color w:val="auto"/>
    </w:rPr>
  </w:style>
  <w:style w:type="paragraph" w:customStyle="1" w:styleId="Bodysecondindent">
    <w:name w:val="Body second indent"/>
    <w:basedOn w:val="Bodysecond"/>
    <w:uiPriority w:val="99"/>
    <w:rsid w:val="00862EDA"/>
    <w:pPr>
      <w:ind w:firstLine="0"/>
    </w:pPr>
  </w:style>
  <w:style w:type="paragraph" w:customStyle="1" w:styleId="Dash">
    <w:name w:val="Dash"/>
    <w:basedOn w:val="Normal"/>
    <w:uiPriority w:val="99"/>
    <w:rsid w:val="00862EDA"/>
    <w:pPr>
      <w:widowControl w:val="0"/>
      <w:autoSpaceDE w:val="0"/>
      <w:autoSpaceDN w:val="0"/>
      <w:adjustRightInd w:val="0"/>
      <w:spacing w:before="70" w:line="300" w:lineRule="atLeast"/>
      <w:ind w:left="1361" w:hanging="340"/>
      <w:textAlignment w:val="baseline"/>
    </w:pPr>
    <w:rPr>
      <w:color w:val="000000"/>
      <w:szCs w:val="22"/>
      <w:lang w:val="en-US"/>
    </w:rPr>
  </w:style>
  <w:style w:type="paragraph" w:styleId="PlainText">
    <w:name w:val="Plain Text"/>
    <w:basedOn w:val="Normal"/>
    <w:link w:val="PlainTextChar"/>
    <w:uiPriority w:val="99"/>
    <w:rsid w:val="00862EDA"/>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DA13E3"/>
    <w:rPr>
      <w:rFonts w:ascii="Courier New" w:hAnsi="Courier New" w:cs="Courier New"/>
      <w:sz w:val="20"/>
      <w:szCs w:val="20"/>
      <w:lang w:eastAsia="en-US"/>
    </w:rPr>
  </w:style>
  <w:style w:type="character" w:styleId="Hyperlink">
    <w:name w:val="Hyperlink"/>
    <w:basedOn w:val="DefaultParagraphFont"/>
    <w:uiPriority w:val="99"/>
    <w:rsid w:val="00862EDA"/>
    <w:rPr>
      <w:rFonts w:cs="Times New Roman"/>
      <w:color w:val="0000FF"/>
      <w:u w:val="single"/>
    </w:rPr>
  </w:style>
  <w:style w:type="paragraph" w:styleId="List3">
    <w:name w:val="List 3"/>
    <w:basedOn w:val="Normal"/>
    <w:uiPriority w:val="99"/>
    <w:rsid w:val="00862EDA"/>
    <w:pPr>
      <w:spacing w:before="80" w:after="80"/>
      <w:ind w:left="425" w:hanging="425"/>
      <w:jc w:val="both"/>
    </w:pPr>
    <w:rPr>
      <w:szCs w:val="20"/>
    </w:rPr>
  </w:style>
  <w:style w:type="paragraph" w:styleId="BodyTextIndent3">
    <w:name w:val="Body Text Indent 3"/>
    <w:basedOn w:val="Normal"/>
    <w:link w:val="BodyTextIndent3Char"/>
    <w:uiPriority w:val="99"/>
    <w:rsid w:val="00862EDA"/>
    <w:pPr>
      <w:widowControl w:val="0"/>
      <w:overflowPunct w:val="0"/>
      <w:autoSpaceDE w:val="0"/>
      <w:autoSpaceDN w:val="0"/>
      <w:adjustRightInd w:val="0"/>
      <w:ind w:left="283"/>
      <w:textAlignment w:val="baseline"/>
    </w:pPr>
    <w:rPr>
      <w:sz w:val="16"/>
      <w:szCs w:val="16"/>
    </w:rPr>
  </w:style>
  <w:style w:type="character" w:customStyle="1" w:styleId="BodyTextIndent3Char">
    <w:name w:val="Body Text Indent 3 Char"/>
    <w:basedOn w:val="DefaultParagraphFont"/>
    <w:link w:val="BodyTextIndent3"/>
    <w:uiPriority w:val="99"/>
    <w:semiHidden/>
    <w:locked/>
    <w:rsid w:val="00DA13E3"/>
    <w:rPr>
      <w:rFonts w:ascii="Arial" w:hAnsi="Arial" w:cs="Times New Roman"/>
      <w:sz w:val="16"/>
      <w:szCs w:val="16"/>
      <w:lang w:eastAsia="en-US"/>
    </w:rPr>
  </w:style>
  <w:style w:type="paragraph" w:styleId="List4">
    <w:name w:val="List 4"/>
    <w:basedOn w:val="Normal"/>
    <w:uiPriority w:val="99"/>
    <w:rsid w:val="00862EDA"/>
    <w:pPr>
      <w:widowControl w:val="0"/>
      <w:overflowPunct w:val="0"/>
      <w:autoSpaceDE w:val="0"/>
      <w:autoSpaceDN w:val="0"/>
      <w:adjustRightInd w:val="0"/>
      <w:ind w:left="1132" w:hanging="283"/>
      <w:textAlignment w:val="baseline"/>
    </w:pPr>
    <w:rPr>
      <w:szCs w:val="20"/>
    </w:rPr>
  </w:style>
  <w:style w:type="paragraph" w:styleId="List5">
    <w:name w:val="List 5"/>
    <w:basedOn w:val="Normal"/>
    <w:uiPriority w:val="99"/>
    <w:rsid w:val="00862EDA"/>
    <w:pPr>
      <w:widowControl w:val="0"/>
      <w:overflowPunct w:val="0"/>
      <w:autoSpaceDE w:val="0"/>
      <w:autoSpaceDN w:val="0"/>
      <w:adjustRightInd w:val="0"/>
      <w:ind w:left="1415" w:hanging="283"/>
      <w:textAlignment w:val="baseline"/>
    </w:pPr>
    <w:rPr>
      <w:szCs w:val="20"/>
    </w:rPr>
  </w:style>
  <w:style w:type="paragraph" w:customStyle="1" w:styleId="Default">
    <w:name w:val="Default"/>
    <w:uiPriority w:val="99"/>
    <w:rsid w:val="00862EDA"/>
    <w:pPr>
      <w:widowControl w:val="0"/>
      <w:autoSpaceDE w:val="0"/>
      <w:autoSpaceDN w:val="0"/>
      <w:adjustRightInd w:val="0"/>
    </w:pPr>
    <w:rPr>
      <w:rFonts w:ascii="EPCAJ D+ Palatino" w:hAnsi="EPCAJ D+ Palatino" w:cs="EPCAJ D+ Palatino"/>
      <w:color w:val="000000"/>
      <w:sz w:val="24"/>
      <w:szCs w:val="24"/>
    </w:rPr>
  </w:style>
  <w:style w:type="paragraph" w:customStyle="1" w:styleId="CM28">
    <w:name w:val="CM28"/>
    <w:basedOn w:val="Default"/>
    <w:next w:val="Default"/>
    <w:uiPriority w:val="99"/>
    <w:rsid w:val="00862EDA"/>
    <w:pPr>
      <w:spacing w:after="58"/>
    </w:pPr>
    <w:rPr>
      <w:color w:val="auto"/>
    </w:rPr>
  </w:style>
  <w:style w:type="paragraph" w:customStyle="1" w:styleId="Normal1">
    <w:name w:val="Normal1"/>
    <w:basedOn w:val="Normal"/>
    <w:uiPriority w:val="99"/>
    <w:rsid w:val="00862EDA"/>
    <w:pPr>
      <w:spacing w:before="100" w:beforeAutospacing="1" w:after="100" w:afterAutospacing="1"/>
    </w:pPr>
    <w:rPr>
      <w:lang w:eastAsia="en-GB"/>
    </w:rPr>
  </w:style>
  <w:style w:type="paragraph" w:styleId="TOC2">
    <w:name w:val="toc 2"/>
    <w:basedOn w:val="Normal"/>
    <w:next w:val="Normal"/>
    <w:autoRedefine/>
    <w:uiPriority w:val="99"/>
    <w:rsid w:val="001E489E"/>
    <w:pPr>
      <w:tabs>
        <w:tab w:val="left" w:pos="660"/>
        <w:tab w:val="right" w:leader="dot" w:pos="9828"/>
      </w:tabs>
      <w:spacing w:before="120" w:after="0"/>
    </w:pPr>
    <w:rPr>
      <w:rFonts w:ascii="Calibri" w:hAnsi="Calibri" w:cs="Calibri"/>
      <w:b/>
      <w:bCs/>
      <w:sz w:val="20"/>
      <w:szCs w:val="20"/>
    </w:rPr>
  </w:style>
  <w:style w:type="paragraph" w:styleId="TOC1">
    <w:name w:val="toc 1"/>
    <w:basedOn w:val="Normal"/>
    <w:next w:val="Normal"/>
    <w:autoRedefine/>
    <w:uiPriority w:val="99"/>
    <w:rsid w:val="00894E4D"/>
    <w:pPr>
      <w:tabs>
        <w:tab w:val="left" w:pos="440"/>
        <w:tab w:val="right" w:leader="dot" w:pos="9828"/>
      </w:tabs>
      <w:spacing w:before="360" w:after="0"/>
    </w:pPr>
    <w:rPr>
      <w:rFonts w:cs="Arial"/>
      <w:b/>
      <w:bCs/>
      <w:caps/>
      <w:sz w:val="24"/>
    </w:rPr>
  </w:style>
  <w:style w:type="paragraph" w:styleId="ListParagraph">
    <w:name w:val="List Paragraph"/>
    <w:basedOn w:val="Normal"/>
    <w:uiPriority w:val="99"/>
    <w:qFormat/>
    <w:rsid w:val="00F76D17"/>
    <w:pPr>
      <w:ind w:left="720"/>
      <w:contextualSpacing/>
    </w:pPr>
  </w:style>
  <w:style w:type="paragraph" w:styleId="TOC3">
    <w:name w:val="toc 3"/>
    <w:basedOn w:val="Normal"/>
    <w:next w:val="Normal"/>
    <w:autoRedefine/>
    <w:uiPriority w:val="99"/>
    <w:rsid w:val="006519DB"/>
    <w:pPr>
      <w:spacing w:after="0"/>
      <w:ind w:left="220"/>
    </w:pPr>
    <w:rPr>
      <w:rFonts w:ascii="Calibri" w:hAnsi="Calibri" w:cs="Calibri"/>
      <w:sz w:val="20"/>
      <w:szCs w:val="20"/>
    </w:rPr>
  </w:style>
  <w:style w:type="paragraph" w:styleId="TOCHeading">
    <w:name w:val="TOC Heading"/>
    <w:basedOn w:val="Heading1"/>
    <w:next w:val="Normal"/>
    <w:uiPriority w:val="99"/>
    <w:qFormat/>
    <w:rsid w:val="00EE2FFD"/>
    <w:pPr>
      <w:keepLines/>
      <w:spacing w:before="480" w:line="276" w:lineRule="auto"/>
      <w:ind w:left="0"/>
      <w:outlineLvl w:val="9"/>
    </w:pPr>
    <w:rPr>
      <w:rFonts w:ascii="Cambria" w:hAnsi="Cambria" w:cs="Times New Roman"/>
      <w:bCs/>
      <w:color w:val="365F91"/>
      <w:szCs w:val="28"/>
      <w:lang w:val="en-US" w:eastAsia="ja-JP"/>
    </w:rPr>
  </w:style>
  <w:style w:type="paragraph" w:styleId="Subtitle">
    <w:name w:val="Subtitle"/>
    <w:basedOn w:val="Normal"/>
    <w:next w:val="Normal"/>
    <w:link w:val="SubtitleChar"/>
    <w:uiPriority w:val="99"/>
    <w:qFormat/>
    <w:rsid w:val="0070444E"/>
    <w:pPr>
      <w:numPr>
        <w:ilvl w:val="1"/>
      </w:numPr>
    </w:pPr>
    <w:rPr>
      <w:b/>
      <w:i/>
      <w:iCs/>
      <w:spacing w:val="15"/>
      <w:sz w:val="24"/>
    </w:rPr>
  </w:style>
  <w:style w:type="character" w:customStyle="1" w:styleId="SubtitleChar">
    <w:name w:val="Subtitle Char"/>
    <w:basedOn w:val="DefaultParagraphFont"/>
    <w:link w:val="Subtitle"/>
    <w:uiPriority w:val="99"/>
    <w:locked/>
    <w:rsid w:val="0070444E"/>
    <w:rPr>
      <w:rFonts w:ascii="Arial" w:hAnsi="Arial" w:cs="Times New Roman"/>
      <w:b/>
      <w:i/>
      <w:iCs/>
      <w:spacing w:val="15"/>
      <w:sz w:val="24"/>
      <w:szCs w:val="24"/>
      <w:lang w:eastAsia="en-US"/>
    </w:rPr>
  </w:style>
  <w:style w:type="paragraph" w:styleId="ListContinue">
    <w:name w:val="List Continue"/>
    <w:basedOn w:val="Normal"/>
    <w:uiPriority w:val="99"/>
    <w:rsid w:val="0070444E"/>
    <w:pPr>
      <w:ind w:left="283"/>
      <w:contextualSpacing/>
    </w:pPr>
  </w:style>
  <w:style w:type="paragraph" w:customStyle="1" w:styleId="BodyText2">
    <w:name w:val="Body Text2"/>
    <w:basedOn w:val="Normal"/>
    <w:uiPriority w:val="99"/>
    <w:rsid w:val="00484200"/>
    <w:pPr>
      <w:widowControl w:val="0"/>
      <w:overflowPunct w:val="0"/>
      <w:autoSpaceDE w:val="0"/>
      <w:autoSpaceDN w:val="0"/>
      <w:adjustRightInd w:val="0"/>
      <w:spacing w:after="0" w:line="300" w:lineRule="atLeast"/>
      <w:jc w:val="both"/>
      <w:textAlignment w:val="baseline"/>
    </w:pPr>
    <w:rPr>
      <w:rFonts w:ascii="Perpetua" w:hAnsi="Perpetua"/>
      <w:sz w:val="24"/>
      <w:szCs w:val="20"/>
    </w:rPr>
  </w:style>
  <w:style w:type="character" w:styleId="FollowedHyperlink">
    <w:name w:val="FollowedHyperlink"/>
    <w:basedOn w:val="DefaultParagraphFont"/>
    <w:uiPriority w:val="99"/>
    <w:rsid w:val="002F6D8E"/>
    <w:rPr>
      <w:rFonts w:cs="Times New Roman"/>
      <w:color w:val="800080"/>
      <w:u w:val="single"/>
    </w:rPr>
  </w:style>
  <w:style w:type="paragraph" w:styleId="TOC4">
    <w:name w:val="toc 4"/>
    <w:basedOn w:val="Normal"/>
    <w:next w:val="Normal"/>
    <w:autoRedefine/>
    <w:uiPriority w:val="99"/>
    <w:rsid w:val="00094925"/>
    <w:pPr>
      <w:spacing w:after="0"/>
      <w:ind w:left="440"/>
    </w:pPr>
    <w:rPr>
      <w:rFonts w:ascii="Calibri" w:hAnsi="Calibri" w:cs="Calibri"/>
      <w:sz w:val="20"/>
      <w:szCs w:val="20"/>
    </w:rPr>
  </w:style>
  <w:style w:type="paragraph" w:styleId="TOC5">
    <w:name w:val="toc 5"/>
    <w:basedOn w:val="Normal"/>
    <w:next w:val="Normal"/>
    <w:autoRedefine/>
    <w:uiPriority w:val="99"/>
    <w:rsid w:val="00094925"/>
    <w:pPr>
      <w:spacing w:after="0"/>
      <w:ind w:left="660"/>
    </w:pPr>
    <w:rPr>
      <w:rFonts w:ascii="Calibri" w:hAnsi="Calibri" w:cs="Calibri"/>
      <w:sz w:val="20"/>
      <w:szCs w:val="20"/>
    </w:rPr>
  </w:style>
  <w:style w:type="paragraph" w:styleId="TOC6">
    <w:name w:val="toc 6"/>
    <w:basedOn w:val="Normal"/>
    <w:next w:val="Normal"/>
    <w:autoRedefine/>
    <w:uiPriority w:val="99"/>
    <w:rsid w:val="00094925"/>
    <w:pPr>
      <w:spacing w:after="0"/>
      <w:ind w:left="880"/>
    </w:pPr>
    <w:rPr>
      <w:rFonts w:ascii="Calibri" w:hAnsi="Calibri" w:cs="Calibri"/>
      <w:sz w:val="20"/>
      <w:szCs w:val="20"/>
    </w:rPr>
  </w:style>
  <w:style w:type="paragraph" w:styleId="TOC7">
    <w:name w:val="toc 7"/>
    <w:basedOn w:val="Normal"/>
    <w:next w:val="Normal"/>
    <w:autoRedefine/>
    <w:uiPriority w:val="99"/>
    <w:rsid w:val="00094925"/>
    <w:pPr>
      <w:spacing w:after="0"/>
      <w:ind w:left="1100"/>
    </w:pPr>
    <w:rPr>
      <w:rFonts w:ascii="Calibri" w:hAnsi="Calibri" w:cs="Calibri"/>
      <w:sz w:val="20"/>
      <w:szCs w:val="20"/>
    </w:rPr>
  </w:style>
  <w:style w:type="paragraph" w:styleId="TOC8">
    <w:name w:val="toc 8"/>
    <w:basedOn w:val="Normal"/>
    <w:next w:val="Normal"/>
    <w:autoRedefine/>
    <w:uiPriority w:val="99"/>
    <w:rsid w:val="00094925"/>
    <w:pPr>
      <w:spacing w:after="0"/>
      <w:ind w:left="1320"/>
    </w:pPr>
    <w:rPr>
      <w:rFonts w:ascii="Calibri" w:hAnsi="Calibri" w:cs="Calibri"/>
      <w:sz w:val="20"/>
      <w:szCs w:val="20"/>
    </w:rPr>
  </w:style>
  <w:style w:type="paragraph" w:styleId="TOC9">
    <w:name w:val="toc 9"/>
    <w:basedOn w:val="Normal"/>
    <w:next w:val="Normal"/>
    <w:autoRedefine/>
    <w:uiPriority w:val="99"/>
    <w:rsid w:val="00094925"/>
    <w:pPr>
      <w:spacing w:after="0"/>
      <w:ind w:left="1540"/>
    </w:pPr>
    <w:rPr>
      <w:rFonts w:ascii="Calibri" w:hAnsi="Calibri" w:cs="Calibri"/>
      <w:sz w:val="20"/>
      <w:szCs w:val="20"/>
    </w:rPr>
  </w:style>
  <w:style w:type="paragraph" w:customStyle="1" w:styleId="BodyText3">
    <w:name w:val="Body Text3"/>
    <w:basedOn w:val="Normal"/>
    <w:uiPriority w:val="99"/>
    <w:rsid w:val="00666AAA"/>
    <w:pPr>
      <w:widowControl w:val="0"/>
      <w:overflowPunct w:val="0"/>
      <w:autoSpaceDE w:val="0"/>
      <w:autoSpaceDN w:val="0"/>
      <w:adjustRightInd w:val="0"/>
      <w:spacing w:after="0" w:line="300" w:lineRule="atLeast"/>
      <w:jc w:val="both"/>
      <w:textAlignment w:val="baseline"/>
    </w:pPr>
    <w:rPr>
      <w:rFonts w:ascii="Perpetua" w:hAnsi="Perpetua"/>
      <w:sz w:val="24"/>
      <w:szCs w:val="20"/>
    </w:rPr>
  </w:style>
  <w:style w:type="numbering" w:customStyle="1" w:styleId="Style2">
    <w:name w:val="Style2"/>
    <w:rsid w:val="0086390E"/>
    <w:pPr>
      <w:numPr>
        <w:numId w:val="2"/>
      </w:numPr>
    </w:pPr>
  </w:style>
  <w:style w:type="numbering" w:customStyle="1" w:styleId="Style5">
    <w:name w:val="Style5"/>
    <w:rsid w:val="0086390E"/>
    <w:pPr>
      <w:numPr>
        <w:numId w:val="5"/>
      </w:numPr>
    </w:pPr>
  </w:style>
  <w:style w:type="numbering" w:customStyle="1" w:styleId="Style4">
    <w:name w:val="Style4"/>
    <w:rsid w:val="0086390E"/>
    <w:pPr>
      <w:numPr>
        <w:numId w:val="4"/>
      </w:numPr>
    </w:pPr>
  </w:style>
  <w:style w:type="numbering" w:customStyle="1" w:styleId="finregssectiontitle">
    <w:name w:val="fin regs section title"/>
    <w:rsid w:val="0086390E"/>
    <w:pPr>
      <w:numPr>
        <w:numId w:val="6"/>
      </w:numPr>
    </w:pPr>
  </w:style>
  <w:style w:type="numbering" w:customStyle="1" w:styleId="Style3">
    <w:name w:val="Style3"/>
    <w:rsid w:val="0086390E"/>
    <w:pPr>
      <w:numPr>
        <w:numId w:val="3"/>
      </w:numPr>
    </w:pPr>
  </w:style>
  <w:style w:type="numbering" w:customStyle="1" w:styleId="Style1">
    <w:name w:val="Style1"/>
    <w:rsid w:val="008639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213">
      <w:marLeft w:val="0"/>
      <w:marRight w:val="0"/>
      <w:marTop w:val="0"/>
      <w:marBottom w:val="0"/>
      <w:divBdr>
        <w:top w:val="none" w:sz="0" w:space="0" w:color="auto"/>
        <w:left w:val="none" w:sz="0" w:space="0" w:color="auto"/>
        <w:bottom w:val="none" w:sz="0" w:space="0" w:color="auto"/>
        <w:right w:val="none" w:sz="0" w:space="0" w:color="auto"/>
      </w:divBdr>
    </w:div>
    <w:div w:id="72509214">
      <w:marLeft w:val="0"/>
      <w:marRight w:val="0"/>
      <w:marTop w:val="0"/>
      <w:marBottom w:val="0"/>
      <w:divBdr>
        <w:top w:val="none" w:sz="0" w:space="0" w:color="auto"/>
        <w:left w:val="none" w:sz="0" w:space="0" w:color="auto"/>
        <w:bottom w:val="none" w:sz="0" w:space="0" w:color="auto"/>
        <w:right w:val="none" w:sz="0" w:space="0" w:color="auto"/>
      </w:divBdr>
    </w:div>
    <w:div w:id="72509215">
      <w:marLeft w:val="0"/>
      <w:marRight w:val="0"/>
      <w:marTop w:val="0"/>
      <w:marBottom w:val="0"/>
      <w:divBdr>
        <w:top w:val="none" w:sz="0" w:space="0" w:color="auto"/>
        <w:left w:val="none" w:sz="0" w:space="0" w:color="auto"/>
        <w:bottom w:val="none" w:sz="0" w:space="0" w:color="auto"/>
        <w:right w:val="none" w:sz="0" w:space="0" w:color="auto"/>
      </w:divBdr>
    </w:div>
    <w:div w:id="72509216">
      <w:marLeft w:val="0"/>
      <w:marRight w:val="0"/>
      <w:marTop w:val="0"/>
      <w:marBottom w:val="0"/>
      <w:divBdr>
        <w:top w:val="none" w:sz="0" w:space="0" w:color="auto"/>
        <w:left w:val="none" w:sz="0" w:space="0" w:color="auto"/>
        <w:bottom w:val="none" w:sz="0" w:space="0" w:color="auto"/>
        <w:right w:val="none" w:sz="0" w:space="0" w:color="auto"/>
      </w:divBdr>
    </w:div>
    <w:div w:id="72509217">
      <w:marLeft w:val="0"/>
      <w:marRight w:val="0"/>
      <w:marTop w:val="0"/>
      <w:marBottom w:val="0"/>
      <w:divBdr>
        <w:top w:val="none" w:sz="0" w:space="0" w:color="auto"/>
        <w:left w:val="none" w:sz="0" w:space="0" w:color="auto"/>
        <w:bottom w:val="none" w:sz="0" w:space="0" w:color="auto"/>
        <w:right w:val="none" w:sz="0" w:space="0" w:color="auto"/>
      </w:divBdr>
    </w:div>
    <w:div w:id="72509218">
      <w:marLeft w:val="0"/>
      <w:marRight w:val="0"/>
      <w:marTop w:val="0"/>
      <w:marBottom w:val="0"/>
      <w:divBdr>
        <w:top w:val="none" w:sz="0" w:space="0" w:color="auto"/>
        <w:left w:val="none" w:sz="0" w:space="0" w:color="auto"/>
        <w:bottom w:val="none" w:sz="0" w:space="0" w:color="auto"/>
        <w:right w:val="none" w:sz="0" w:space="0" w:color="auto"/>
      </w:divBdr>
    </w:div>
    <w:div w:id="72509219">
      <w:marLeft w:val="0"/>
      <w:marRight w:val="0"/>
      <w:marTop w:val="0"/>
      <w:marBottom w:val="0"/>
      <w:divBdr>
        <w:top w:val="none" w:sz="0" w:space="0" w:color="auto"/>
        <w:left w:val="none" w:sz="0" w:space="0" w:color="auto"/>
        <w:bottom w:val="none" w:sz="0" w:space="0" w:color="auto"/>
        <w:right w:val="none" w:sz="0" w:space="0" w:color="auto"/>
      </w:divBdr>
    </w:div>
    <w:div w:id="72509220">
      <w:marLeft w:val="0"/>
      <w:marRight w:val="0"/>
      <w:marTop w:val="0"/>
      <w:marBottom w:val="0"/>
      <w:divBdr>
        <w:top w:val="none" w:sz="0" w:space="0" w:color="auto"/>
        <w:left w:val="none" w:sz="0" w:space="0" w:color="auto"/>
        <w:bottom w:val="none" w:sz="0" w:space="0" w:color="auto"/>
        <w:right w:val="none" w:sz="0" w:space="0" w:color="auto"/>
      </w:divBdr>
    </w:div>
    <w:div w:id="7250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A242-C146-4C0B-96C0-FB3FB761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E2C4CA2A</Template>
  <TotalTime>11</TotalTime>
  <Pages>22</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Iain Waite</cp:lastModifiedBy>
  <cp:revision>5</cp:revision>
  <cp:lastPrinted>2016-11-29T09:02:00Z</cp:lastPrinted>
  <dcterms:created xsi:type="dcterms:W3CDTF">2016-11-29T08:28:00Z</dcterms:created>
  <dcterms:modified xsi:type="dcterms:W3CDTF">2016-11-29T09:02:00Z</dcterms:modified>
</cp:coreProperties>
</file>